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МІНІСТЕРСТВО ОСВІТИ І НАУКИ УКРАЇНИ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jc w:val="center"/>
        <w:rPr>
          <w:b w:val="1"/>
          <w:bCs w:val="1"/>
          <w:sz w:val="26"/>
          <w:szCs w:val="26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ХАРКІВСЬКИЙ НАЦІОНАЛЬНИЙ УНІВЕРСИТЕТ МІСЬКОГО ГОСПОДАРСТВА імені 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М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БЕКЕТОВА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rPr>
          <w:rFonts w:ascii="Helvetica" w:cs="Helvetica" w:hAnsi="Helvetica" w:eastAsia="Helvetica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tbl>
      <w:tblPr>
        <w:tblW w:w="96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69"/>
      </w:tblGrid>
      <w:tr>
        <w:tblPrEx>
          <w:shd w:val="clear" w:color="auto" w:fill="d0ddef"/>
        </w:tblPrEx>
        <w:trPr>
          <w:trHeight w:val="1731" w:hRule="atLeast"/>
        </w:trPr>
        <w:tc>
          <w:tcPr>
            <w:tcW w:type="dxa" w:w="96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Default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СХВАЛЕНО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Вчено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рад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ою ХНУМГ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ім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.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Бекетова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П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ротокол №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6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В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ід «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30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січня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2025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р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оку</w:t>
            </w:r>
          </w:p>
        </w:tc>
      </w:tr>
    </w:tbl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jc w:val="center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ПОЛОЖЕННЯ</w:t>
      </w:r>
    </w:p>
    <w:p>
      <w:pPr>
        <w:pStyle w:val="Default"/>
        <w:jc w:val="center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про реалізацію міжнародних проєктів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грантів і договорів у Харківському національному університеті міського господарства імені 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М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Бекетова</w:t>
      </w: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Харк</w:t>
      </w:r>
      <w:r>
        <w:rPr>
          <w:b w:val="1"/>
          <w:bCs w:val="1"/>
          <w:sz w:val="26"/>
          <w:szCs w:val="26"/>
          <w:rtl w:val="0"/>
        </w:rPr>
        <w:t xml:space="preserve">ів </w:t>
      </w:r>
      <w:r>
        <w:rPr>
          <w:b w:val="1"/>
          <w:bCs w:val="1"/>
          <w:sz w:val="26"/>
          <w:szCs w:val="26"/>
          <w:rtl w:val="0"/>
        </w:rPr>
        <w:t>- 2025</w:t>
      </w:r>
    </w:p>
    <w:p>
      <w:pPr>
        <w:pStyle w:val="Default"/>
        <w:rPr>
          <w:b w:val="1"/>
          <w:bCs w:val="1"/>
          <w:sz w:val="26"/>
          <w:szCs w:val="26"/>
        </w:rPr>
      </w:pPr>
    </w:p>
    <w:p>
      <w:pPr>
        <w:pStyle w:val="Default"/>
        <w:jc w:val="center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ПОЛОЖЕННЯ</w:t>
      </w:r>
    </w:p>
    <w:p>
      <w:pPr>
        <w:pStyle w:val="Default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про реалізацію міжнародних проєктів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грантів і договорів у Харківському національному університеті міського господарства імені О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t>М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Бекетова</w:t>
      </w:r>
    </w:p>
    <w:p>
      <w:pPr>
        <w:pStyle w:val="Default"/>
        <w:jc w:val="center"/>
        <w:rPr>
          <w:b w:val="1"/>
          <w:bCs w:val="1"/>
          <w:sz w:val="26"/>
          <w:szCs w:val="26"/>
          <w:lang w:val="ru-RU"/>
        </w:rPr>
      </w:pPr>
    </w:p>
    <w:p>
      <w:pPr>
        <w:pStyle w:val="Default"/>
        <w:jc w:val="center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І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Загальні положення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1.1. </w:t>
      </w:r>
      <w:r>
        <w:rPr>
          <w:sz w:val="26"/>
          <w:szCs w:val="26"/>
          <w:rtl w:val="0"/>
        </w:rPr>
        <w:t>Положення про реалізацію міжнародних проєктів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грантів і договорів в Харківському національному університеті міського господарства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Бекетова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далі – Положення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розроблено відповідно до законів України «Про освіту»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«Про вищу освіту»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«Про інноваційну діяльність»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«Про міжнародні договори України»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«Про оплату праці»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«Про ратифікацію Рамкової угоди між Урядом України і Комісією Європейських Співтовариств»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 xml:space="preserve">від </w:t>
      </w:r>
      <w:r>
        <w:rPr>
          <w:sz w:val="26"/>
          <w:szCs w:val="26"/>
          <w:rtl w:val="0"/>
        </w:rPr>
        <w:t xml:space="preserve">03.09.2008 </w:t>
      </w:r>
      <w:r>
        <w:rPr>
          <w:sz w:val="26"/>
          <w:szCs w:val="26"/>
          <w:rtl w:val="0"/>
        </w:rPr>
        <w:t>р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№ </w:t>
      </w:r>
      <w:r>
        <w:rPr>
          <w:sz w:val="26"/>
          <w:szCs w:val="26"/>
          <w:rtl w:val="0"/>
        </w:rPr>
        <w:t xml:space="preserve">360-VI (360-17), </w:t>
      </w:r>
      <w:r>
        <w:rPr>
          <w:sz w:val="26"/>
          <w:szCs w:val="26"/>
          <w:rtl w:val="0"/>
        </w:rPr>
        <w:t>Угоди про Асоціацію між Україною та Європейським Союзом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постанови Кабінету Міністрів України «Про створення єдиної системи залучення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використання та моніторингу міжнародної технічної допомоги» від </w:t>
      </w:r>
      <w:r>
        <w:rPr>
          <w:sz w:val="26"/>
          <w:szCs w:val="26"/>
          <w:rtl w:val="0"/>
        </w:rPr>
        <w:t xml:space="preserve">15.02.2002 </w:t>
      </w:r>
      <w:r>
        <w:rPr>
          <w:sz w:val="26"/>
          <w:szCs w:val="26"/>
          <w:rtl w:val="0"/>
        </w:rPr>
        <w:t>р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№ </w:t>
      </w:r>
      <w:r>
        <w:rPr>
          <w:sz w:val="26"/>
          <w:szCs w:val="26"/>
          <w:rtl w:val="0"/>
        </w:rPr>
        <w:t xml:space="preserve">153, </w:t>
      </w:r>
      <w:r>
        <w:rPr>
          <w:sz w:val="26"/>
          <w:szCs w:val="26"/>
          <w:rtl w:val="0"/>
        </w:rPr>
        <w:t>нормативних документів Міністерства освіти і науки України і правил програм міжнародної технічної допомоги та узгоджується із внутрішніми нормативними документами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зокрема Статутом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Стратегічним планом Харківського національного університету міського господарства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 Бекетова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Положенням про академічну мобільність студентів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аспірантів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докторантів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науково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педагогічних та наукових працівників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Бекетова від </w:t>
      </w:r>
      <w:r>
        <w:rPr>
          <w:sz w:val="26"/>
          <w:szCs w:val="26"/>
          <w:rtl w:val="0"/>
        </w:rPr>
        <w:t xml:space="preserve">01.11.2022 </w:t>
      </w:r>
      <w:r>
        <w:rPr>
          <w:sz w:val="26"/>
          <w:szCs w:val="26"/>
          <w:rtl w:val="0"/>
        </w:rPr>
        <w:t>р</w:t>
      </w:r>
      <w:r>
        <w:rPr>
          <w:sz w:val="26"/>
          <w:szCs w:val="26"/>
          <w:rtl w:val="0"/>
        </w:rPr>
        <w:t>.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1.2. </w:t>
      </w:r>
      <w:r>
        <w:rPr>
          <w:sz w:val="26"/>
          <w:szCs w:val="26"/>
          <w:rtl w:val="0"/>
        </w:rPr>
        <w:t>Положення є інституційним документом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що визначає порядок реалізації міжнародних проєктів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грантів і договорів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далі – Проєкти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у межах міжнародної діяльності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зокрема управління коштами грантів за проєктами програм міжнародної технічної допомоги в Харківському національному університеті міського господарства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Бекетова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далі –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</w:t>
      </w:r>
      <w:r>
        <w:rPr>
          <w:sz w:val="26"/>
          <w:szCs w:val="26"/>
          <w:rtl w:val="0"/>
        </w:rPr>
        <w:t xml:space="preserve">).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1.3. </w:t>
      </w:r>
      <w:r>
        <w:rPr>
          <w:sz w:val="26"/>
          <w:szCs w:val="26"/>
          <w:rtl w:val="0"/>
        </w:rPr>
        <w:t>Мета міжнародної діяльності – розвиток потенціалу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та організація й координація роботи щодо інтернаціоналізації діяльності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шляхом участі в міжнародних проєктах і заходах із закордонними закладами освіти та іншими організаціями зарубіжних країн</w:t>
      </w:r>
      <w:r>
        <w:rPr>
          <w:sz w:val="26"/>
          <w:szCs w:val="26"/>
          <w:rtl w:val="0"/>
        </w:rPr>
        <w:t xml:space="preserve">.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1.4. </w:t>
      </w:r>
      <w:r>
        <w:rPr>
          <w:sz w:val="26"/>
          <w:szCs w:val="26"/>
          <w:rtl w:val="0"/>
        </w:rPr>
        <w:t>Завданнями міжнародної діяльності є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створення умов для участі в міжнародній співпраці структурних підрозділів та окремих працівників і здобувачів освіти на основі двосторонніх і багатосторонніх міжнародних договорів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пошук і поширення інформації про міжнародні програми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фонди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гранти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конкурси для здобувачів освіти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науково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педагогічних та наукових працівників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надання відповідних консультацій та іншої допомоги щодо участі здобувачів освіти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науково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педагогічних та наукових працівників у міжнародних проєктах і заходах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оформлення закордонних відряджень у рамках виконання міжнародних проєктів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грантів і договорів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реалізація міжнародної мобільності та обмінів здобувачів освіти та працівників закладу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сприяння міжнародному стажуванню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обміну досвідом і професійному розвитку науково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педагогічних та наукових працівників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модернізація освітніх програм і підготовки здобувачів освіти на основі міжнародного досвіду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зокрема запровадження міжнародних спільних освітніх програм і закордонних практик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залучення міжнародних експертів до викладання і навчання у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</w:t>
      </w:r>
      <w:r>
        <w:rPr>
          <w:sz w:val="26"/>
          <w:szCs w:val="26"/>
          <w:rtl w:val="0"/>
        </w:rPr>
        <w:t xml:space="preserve">;;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участь у та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</w:rPr>
        <w:t>або проведення міжнародних заходах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сприяння розвитку англомовної компетентності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та мовних компетентностей з інших офіційних мов ЄС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здобувачів освіти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науково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педагогічних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наукових та інших працівників</w:t>
      </w:r>
      <w:r>
        <w:rPr>
          <w:sz w:val="26"/>
          <w:szCs w:val="26"/>
          <w:rtl w:val="0"/>
        </w:rPr>
        <w:t xml:space="preserve">;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забезпечення та підтримка актуальної англомовної сторінки закладу</w:t>
      </w:r>
      <w:r>
        <w:rPr>
          <w:sz w:val="26"/>
          <w:szCs w:val="26"/>
          <w:rtl w:val="0"/>
        </w:rPr>
        <w:t xml:space="preserve">.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1.5. </w:t>
      </w:r>
      <w:r>
        <w:rPr>
          <w:sz w:val="26"/>
          <w:szCs w:val="26"/>
          <w:rtl w:val="0"/>
        </w:rPr>
        <w:t>Цілі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завдання та загальні правила забезпечення реалізації проєктів програм міжнародної технічної допомоги та управління коштами грантів повинні відповідати принципам доброчесності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неприбутковості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відповідальності та якості виконання своїх зобов’язань перед іноземними та вітчизняними партнерами і міжнародними організаціями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мотивувати здобувачів освіти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науково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педагогічних та інших працівників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до саморозвитку та активної участі у міжнародній діяльності</w:t>
      </w:r>
      <w:r>
        <w:rPr>
          <w:sz w:val="26"/>
          <w:szCs w:val="26"/>
          <w:rtl w:val="0"/>
        </w:rPr>
        <w:t>.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Normal.0"/>
        <w:spacing w:before="120"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ІІ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Організаційне забезпечення та виконання проєкту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2.1. </w:t>
      </w:r>
      <w:r>
        <w:rPr>
          <w:rFonts w:ascii="Times New Roman" w:hAnsi="Times New Roman" w:hint="default"/>
          <w:sz w:val="26"/>
          <w:szCs w:val="26"/>
          <w:rtl w:val="0"/>
        </w:rPr>
        <w:t>Для виконання проєктів підписуються відповідні грантові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партнерські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міжінституційні угоди чи інші типи документів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які необхідні для їх впровадження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2.2. </w:t>
      </w:r>
      <w:r>
        <w:rPr>
          <w:rFonts w:ascii="Times New Roman" w:hAnsi="Times New Roman" w:hint="default"/>
          <w:sz w:val="26"/>
          <w:szCs w:val="26"/>
          <w:rtl w:val="0"/>
        </w:rPr>
        <w:t>Обов’язковою є реєстрація угод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зазначених в п</w:t>
      </w:r>
      <w:r>
        <w:rPr>
          <w:rFonts w:ascii="Times New Roman" w:hAnsi="Times New Roman"/>
          <w:sz w:val="26"/>
          <w:szCs w:val="26"/>
          <w:rtl w:val="0"/>
        </w:rPr>
        <w:t xml:space="preserve">. 2.1. </w:t>
      </w:r>
      <w:r>
        <w:rPr>
          <w:rFonts w:ascii="Times New Roman" w:hAnsi="Times New Roman" w:hint="default"/>
          <w:sz w:val="26"/>
          <w:szCs w:val="26"/>
          <w:rtl w:val="0"/>
        </w:rPr>
        <w:t>цього Положення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 Журналі реєстрації міжнародних угод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що ведеться Центром міжнародної діяльності та освіти ХНУМГ ім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Бекетова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2.3. </w:t>
      </w:r>
      <w:r>
        <w:rPr>
          <w:rFonts w:ascii="Times New Roman" w:hAnsi="Times New Roman" w:hint="default"/>
          <w:sz w:val="26"/>
          <w:szCs w:val="26"/>
          <w:rtl w:val="0"/>
        </w:rPr>
        <w:t>Для реалізації проєкту програми міжнародної співпраці створюються та затверджуються Наказом ректора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«Про реалізацію міжнародного проєкту» робочі групи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що складаються з виконавців проєкту – працівників відповідних підрозділів університету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які забезпечують доброчесне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якісне та своєчасне виконання зобов’язань і робіт відповідно до завдань проєкту задля розбудови потенціалу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Бекетова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Проєкт відповідного наказу вноситься Центром міжнародної діяльності та освіти ХНУМГ ім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2.4. </w:t>
      </w:r>
      <w:r>
        <w:rPr>
          <w:rFonts w:ascii="Times New Roman" w:hAnsi="Times New Roman" w:hint="default"/>
          <w:sz w:val="26"/>
          <w:szCs w:val="26"/>
          <w:rtl w:val="0"/>
        </w:rPr>
        <w:t>Виконання та моніторинг реалізації Проєкту здійснюється відповідно до умов проєктних документів і законодавства України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2.5. </w:t>
      </w:r>
      <w:r>
        <w:rPr>
          <w:rFonts w:ascii="Times New Roman" w:hAnsi="Times New Roman" w:hint="default"/>
          <w:sz w:val="26"/>
          <w:szCs w:val="26"/>
          <w:rtl w:val="0"/>
        </w:rPr>
        <w:t>Оплата праці залучених до виконання Проєкту працівників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2.5.1. </w:t>
      </w:r>
      <w:r>
        <w:rPr>
          <w:rFonts w:ascii="Times New Roman" w:hAnsi="Times New Roman" w:hint="default"/>
          <w:sz w:val="26"/>
          <w:szCs w:val="26"/>
          <w:rtl w:val="0"/>
        </w:rPr>
        <w:t>Виконання проєктів міжнародної співпраці вимагають складнішого рівня підготовки працівників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включаючи використання іноземних мов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знання міжнародного досвіду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навичок міжкультурної комунікації тощо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У зв’язку з цим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для нарахування оплати за виконані роботи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які зазначені в завданнях проєктів програм міжнародної співпраці фахівцям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працівникам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застосовується вищій рівень оплати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ніж звичайні ставки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Рівень оплати  визначається згідно з умовами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визначеними у грантових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міжінституційних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партнерських чи інших угодах відповідно до правил та особливостей реалізації проєктів або програм міжнародної співпраці за конкретні досягнуті якісні результати на підставі кошторису в рамках бюджету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затвердженого грантовою угодою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2.5.2. </w:t>
      </w:r>
      <w:r>
        <w:rPr>
          <w:rFonts w:ascii="Times New Roman" w:hAnsi="Times New Roman" w:hint="default"/>
          <w:sz w:val="26"/>
          <w:szCs w:val="26"/>
          <w:rtl w:val="0"/>
        </w:rPr>
        <w:t>Оплата за виконані роботи в рамкках проєктів програм міжнародної співпраці здійснюється на підставі наказу про преміювання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надбавки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доплати або на підставі Договору підряду на виконання певного обсягу робіт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послуг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</w:rPr>
        <w:t>або інших цивільно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правових угод</w:t>
      </w:r>
      <w:r>
        <w:rPr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за конкретинм проєктом на підставі Акту виконаних робіт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послуг</w:t>
      </w:r>
      <w:r>
        <w:rPr>
          <w:rFonts w:ascii="Times New Roman" w:hAnsi="Times New Roman"/>
          <w:sz w:val="26"/>
          <w:szCs w:val="26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</w:rPr>
        <w:t>що підписується виконавцем та керівником проєкту відповідно до наказу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зазначеного в п </w:t>
      </w:r>
      <w:r>
        <w:rPr>
          <w:rFonts w:ascii="Times New Roman" w:hAnsi="Times New Roman"/>
          <w:sz w:val="26"/>
          <w:szCs w:val="26"/>
          <w:rtl w:val="0"/>
        </w:rPr>
        <w:t xml:space="preserve">2.3 </w:t>
      </w:r>
      <w:r>
        <w:rPr>
          <w:rFonts w:ascii="Times New Roman" w:hAnsi="Times New Roman" w:hint="default"/>
          <w:sz w:val="26"/>
          <w:szCs w:val="26"/>
          <w:rtl w:val="0"/>
        </w:rPr>
        <w:t>цього Положення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Виплати виконавцям можуть бути здійснені поетапно або в кінці терміну виконання Проєкту відповідно до бюджету Проєкту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2.5.3. </w:t>
      </w:r>
      <w:r>
        <w:rPr>
          <w:rFonts w:ascii="Times New Roman" w:hAnsi="Times New Roman" w:hint="default"/>
          <w:sz w:val="26"/>
          <w:szCs w:val="26"/>
          <w:rtl w:val="0"/>
        </w:rPr>
        <w:t>До виконання робіт за Проєктом за поданням керівника Проєкту на підставі рішення ректора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Бекетова можуть залучатися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крім членів робочої групи Проєкту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інші працівники закладу та зовнішні експерти через укладання цивільно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правових угод та</w:t>
      </w:r>
      <w:r>
        <w:rPr>
          <w:rFonts w:ascii="Times New Roman" w:hAnsi="Times New Roman"/>
          <w:sz w:val="26"/>
          <w:szCs w:val="26"/>
          <w:rtl w:val="0"/>
        </w:rPr>
        <w:t>/</w:t>
      </w:r>
      <w:r>
        <w:rPr>
          <w:rFonts w:ascii="Times New Roman" w:hAnsi="Times New Roman" w:hint="default"/>
          <w:sz w:val="26"/>
          <w:szCs w:val="26"/>
          <w:rtl w:val="0"/>
        </w:rPr>
        <w:t>або авторських договорів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2.5.4. </w:t>
      </w:r>
      <w:r>
        <w:rPr>
          <w:rFonts w:ascii="Times New Roman" w:hAnsi="Times New Roman" w:hint="default"/>
          <w:sz w:val="26"/>
          <w:szCs w:val="26"/>
          <w:rtl w:val="0"/>
        </w:rPr>
        <w:t>Авторські та цивільно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правові договори можуть бути укладені з штатними або іншими працівниками у випадках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коли розробник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автор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</w:rPr>
        <w:t>бере на себе обов</w:t>
      </w:r>
      <w:r>
        <w:rPr>
          <w:rFonts w:ascii="Times New Roman" w:hAnsi="Times New Roman"/>
          <w:sz w:val="26"/>
          <w:szCs w:val="26"/>
          <w:rtl w:val="0"/>
        </w:rPr>
        <w:t>'</w:t>
      </w:r>
      <w:r>
        <w:rPr>
          <w:rFonts w:ascii="Times New Roman" w:hAnsi="Times New Roman" w:hint="default"/>
          <w:sz w:val="26"/>
          <w:szCs w:val="26"/>
          <w:rtl w:val="0"/>
        </w:rPr>
        <w:t xml:space="preserve">язок створити певний твір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інтелектуальну власність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та передати його для використання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відповідно до Закону України «Про авторське право і суміжні права»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2.6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Виплати для закордонних відряджень та відряджень по Україні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2.6.1. </w:t>
      </w:r>
      <w:r>
        <w:rPr>
          <w:rFonts w:ascii="Times New Roman" w:hAnsi="Times New Roman" w:hint="default"/>
          <w:sz w:val="26"/>
          <w:szCs w:val="26"/>
          <w:rtl w:val="0"/>
        </w:rPr>
        <w:t>Виплати для закордонних відряджень та відряджень по Україні у межах реалізації проєктів програм міжнародної співпраці нараховуються згідно з умовами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визначеними у грантових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міжінституційних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партнерських чи інших угодах відповідно до правил та особливостей реалізації проєктів або програм міжнародної співпраці відповідно до бюджету проєкту на підставі кошторису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що є невід’ємною частиною грантової угоди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2.6.2. </w:t>
      </w:r>
      <w:r>
        <w:rPr>
          <w:rFonts w:ascii="Times New Roman" w:hAnsi="Times New Roman" w:hint="default"/>
          <w:sz w:val="26"/>
          <w:szCs w:val="26"/>
          <w:rtl w:val="0"/>
        </w:rPr>
        <w:t>Витрати на проїзд здійснюються відповідно до фактичної вартості квитків на проїзд у межах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передбачених бюджетом Проєкту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У разі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фактична вартість проїзду перевищує передбачену бюджетом Проєкту вартість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відшкодування може бути здійснене за рішенням керівника Проєкту за узгодженням з ректором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за рахунок економії коштів гранту за Проєктом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останнє не суперечить умовам фінансування Проєкту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2.6.3. </w:t>
      </w:r>
      <w:r>
        <w:rPr>
          <w:rFonts w:ascii="Times New Roman" w:hAnsi="Times New Roman" w:hint="default"/>
          <w:sz w:val="26"/>
          <w:szCs w:val="26"/>
          <w:rtl w:val="0"/>
        </w:rPr>
        <w:t>У разі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фактична вартість проживання в готелі перевищує передбачену бюджетом Проєкту вартість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відшкодування може бути здійснене за рішенням керівника Проєкту за узгодженням з ректором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за рахунок економії коштів гранту за Проєктом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останнє не суперечить умовам фінансування Проєкту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2.7. </w:t>
      </w:r>
      <w:r>
        <w:rPr>
          <w:rFonts w:ascii="Times New Roman" w:hAnsi="Times New Roman" w:hint="default"/>
          <w:sz w:val="26"/>
          <w:szCs w:val="26"/>
          <w:rtl w:val="0"/>
        </w:rPr>
        <w:t>Якщо умовами договору з організацією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грантодавцем передбачено співфінансування Проєкту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забезпечує виконання цих вимог за рахунок виконання робіт за Проєктом у межах економії коштів загального та спеціального фондів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2.8. </w:t>
      </w:r>
      <w:r>
        <w:rPr>
          <w:rFonts w:ascii="Times New Roman" w:hAnsi="Times New Roman" w:hint="default"/>
          <w:sz w:val="26"/>
          <w:szCs w:val="26"/>
          <w:rtl w:val="0"/>
        </w:rPr>
        <w:t>Цільове використання забезпечення коштами гранту проєкту за програмою міжнародної співпраці допускає використання коштів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у тому числі отриманих понад запланованого бюджетом проєкту обсягу за рахунок зміни курсу обміну валюти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за рахунок надлишкових коштів тощо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на проведення додаткових заходів відповідно до мети та завдань проєкту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залучення більшої кількості працівників і студентів до академічної мобільності та інших заходів за проєктом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придбання відповідного обладнання та розхідних матеріалів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розроблення навчально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методичного забезпечення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покриття інших обґрунтованих витрат задля ефективного та результативного виконання завдань і забезпечення сталості результатів проєкту програми міжнародної співпраці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2.9. </w:t>
      </w:r>
      <w:r>
        <w:rPr>
          <w:rFonts w:ascii="Times New Roman" w:hAnsi="Times New Roman" w:hint="default"/>
          <w:sz w:val="26"/>
          <w:szCs w:val="26"/>
          <w:rtl w:val="0"/>
        </w:rPr>
        <w:t>Якщо передбачене обов’язкове оприлюднення результатів проєктів на офіційних Інтернет ресурсах міжнародних організацій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члени робочої групи проєктів зобов’язуються забезпечити вчасне подання необхідних матеріалів відповідно до правил відкритої ліцензії і авторського права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 рамках академічної доброчесності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Default"/>
        <w:spacing w:after="23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2.10.  </w:t>
      </w:r>
      <w:r>
        <w:rPr>
          <w:sz w:val="26"/>
          <w:szCs w:val="26"/>
          <w:rtl w:val="0"/>
        </w:rPr>
        <w:t>Для проєктів офіційно зареєстрованих як міжнародна технічна допомога в Секретаріаті України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подається відповідна звітність головному бенефіціару проєкту в Україні</w:t>
      </w:r>
      <w:r>
        <w:rPr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2.11.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Для проєктів офіційно зареєстрованих як міжнародна технічна допомога в Секретаріаті Кабінету Міністрів України закупівля обладнання та інших робіт і товарів на виконання завдань проєктів програм міжнародної співпраці відбувається на основі правил та особливостей визначених міжнародними організаціями </w:t>
      </w:r>
      <w:r>
        <w:rPr>
          <w:rFonts w:ascii="Times New Roman" w:hAnsi="Times New Roman"/>
          <w:sz w:val="26"/>
          <w:szCs w:val="26"/>
          <w:rtl w:val="0"/>
        </w:rPr>
        <w:t xml:space="preserve">/ </w:t>
      </w:r>
      <w:r>
        <w:rPr>
          <w:rFonts w:ascii="Times New Roman" w:hAnsi="Times New Roman" w:hint="default"/>
          <w:sz w:val="26"/>
          <w:szCs w:val="26"/>
          <w:rtl w:val="0"/>
        </w:rPr>
        <w:t>фондами у грантових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міжінституційних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партнерських чи інших угодах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укладених в межах реалізації проєктів та програми міжнародної співпраці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такі застосовуються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2.12. </w:t>
      </w:r>
      <w:r>
        <w:rPr>
          <w:rFonts w:ascii="Times New Roman" w:hAnsi="Times New Roman" w:hint="default"/>
          <w:sz w:val="26"/>
          <w:szCs w:val="26"/>
          <w:rtl w:val="0"/>
        </w:rPr>
        <w:t>Закупівля товарів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робіт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послуг за кошти Проєкту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2.13. </w:t>
      </w:r>
      <w:r>
        <w:rPr>
          <w:rFonts w:ascii="Times New Roman" w:hAnsi="Times New Roman" w:hint="default"/>
          <w:sz w:val="26"/>
          <w:szCs w:val="26"/>
          <w:rtl w:val="0"/>
        </w:rPr>
        <w:t>Для Проєкту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що отримав державну реєстрацію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закупівля товарів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робіт і послуг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укладання договорів на виконання завдань Проєкту за програмою міжнародної технічної допомоги відбувається на основі правил та особливостей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визначених у грантових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міжінституційних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партнерських чи інших угодах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і Закону України «Про публічні закупівлі» з дотриманням етики закупівель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ІІІ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Процедура підготовки та державної реєстрації Проєкту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3.1. </w:t>
      </w:r>
      <w:r>
        <w:rPr>
          <w:rFonts w:ascii="Times New Roman" w:hAnsi="Times New Roman" w:hint="default"/>
          <w:sz w:val="26"/>
          <w:szCs w:val="26"/>
          <w:rtl w:val="0"/>
        </w:rPr>
        <w:t>Подання Проєкту та відповідної документації до участі в програмі міжнародної технічної допомоги від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відбувається за узгодженням з ректором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 Бекетова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3.2.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Для виконання Проєкту підписуються відповідні проєктні документи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грантові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партнерські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міжінституційні угоди чи інші типи документів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необхідні для його впровадження</w:t>
      </w:r>
      <w:r>
        <w:rPr>
          <w:rFonts w:ascii="Times New Roman" w:hAnsi="Times New Roman"/>
          <w:sz w:val="26"/>
          <w:szCs w:val="26"/>
          <w:rtl w:val="0"/>
        </w:rPr>
        <w:t xml:space="preserve">).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3.3. </w:t>
      </w:r>
      <w:r>
        <w:rPr>
          <w:rFonts w:ascii="Times New Roman" w:hAnsi="Times New Roman" w:hint="default"/>
          <w:sz w:val="26"/>
          <w:szCs w:val="26"/>
          <w:rtl w:val="0"/>
        </w:rPr>
        <w:t>Проєкт реєструється відповідно до законодавства з подальшим отриманням картки державної реєстрації Проєкту та плану закупівель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передбачено придбання товарів та</w:t>
      </w:r>
      <w:r>
        <w:rPr>
          <w:rFonts w:ascii="Times New Roman" w:hAnsi="Times New Roman"/>
          <w:sz w:val="26"/>
          <w:szCs w:val="26"/>
          <w:rtl w:val="0"/>
        </w:rPr>
        <w:t>/</w:t>
      </w:r>
      <w:r>
        <w:rPr>
          <w:rFonts w:ascii="Times New Roman" w:hAnsi="Times New Roman" w:hint="default"/>
          <w:sz w:val="26"/>
          <w:szCs w:val="26"/>
          <w:rtl w:val="0"/>
        </w:rPr>
        <w:t>або послуг за Проєктом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3.4. </w:t>
      </w:r>
      <w:r>
        <w:rPr>
          <w:sz w:val="26"/>
          <w:szCs w:val="26"/>
          <w:rtl w:val="0"/>
        </w:rPr>
        <w:t>Копії проєктних документів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перекладені українською мовою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також картка державної реєстрації Проєкту подаються до бухгалтерії та відповідних структурних підрозділів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для інформації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реєстрації в банківських установах та планування надходжень коштів гранту до спеціального фонду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та їх подальшого цільового використання</w:t>
      </w:r>
      <w:r>
        <w:rPr>
          <w:sz w:val="26"/>
          <w:szCs w:val="26"/>
          <w:rtl w:val="0"/>
        </w:rPr>
        <w:t>.</w:t>
      </w:r>
    </w:p>
    <w:p>
      <w:pPr>
        <w:pStyle w:val="Default"/>
        <w:ind w:firstLine="708"/>
        <w:jc w:val="both"/>
        <w:rPr>
          <w:sz w:val="26"/>
          <w:szCs w:val="26"/>
        </w:rPr>
      </w:pPr>
    </w:p>
    <w:p>
      <w:pPr>
        <w:pStyle w:val="Normal.0"/>
        <w:spacing w:before="120"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І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V.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Звітування та оцінювання результатів проєктної діяльності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4.1. </w:t>
      </w:r>
      <w:r>
        <w:rPr>
          <w:sz w:val="26"/>
          <w:szCs w:val="26"/>
          <w:rtl w:val="0"/>
        </w:rPr>
        <w:t>У межах проєктної діяльності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організовує публічні заходи та розробляє й презентує матеріали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які демонструють результати Проєкту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забезпечує оцінювання якості матеріалів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оприлюднює усі матеріали та інформацію про заходи та результати Проєкту на сайті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Публічні заходи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мають забезпечувати досягнення стратегічних цілей закладу та відповідати цілям проєктної діяльності</w:t>
      </w:r>
      <w:r>
        <w:rPr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Під час таких заходів використовується символіка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Бекетова і символіка Проєкту та відповідної програми міжнародної технічної допомоги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логотипи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що відображаються в презентаціях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на банерах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публікаціях тощо</w:t>
      </w:r>
      <w:r>
        <w:rPr>
          <w:rFonts w:ascii="Times New Roman" w:hAnsi="Times New Roman"/>
          <w:sz w:val="26"/>
          <w:szCs w:val="26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</w:rPr>
        <w:t>якщо інше не передбачено умовами відповідної угоди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4.2.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Після завершення Проєкту готується звітна документація про виконання Проекту та подається координатору Проєкту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або організації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грантодавцю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</w:rPr>
        <w:t>у визначені відповідною угодою терміни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4.3. </w:t>
      </w:r>
      <w:r>
        <w:rPr>
          <w:rFonts w:ascii="Times New Roman" w:hAnsi="Times New Roman" w:hint="default"/>
          <w:sz w:val="26"/>
          <w:szCs w:val="26"/>
          <w:rtl w:val="0"/>
        </w:rPr>
        <w:t>Підсумковий та проміжні звіти щодо виконання Проєкту готують члени робочої групи Проєкту згідно з умовами відповідної угоди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зокрема фінансову частину – спільно з бухгалтерією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Звіти про закуплене обладнання та про вплив Проєкту публікуються на сайті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4.4. </w:t>
      </w:r>
      <w:r>
        <w:rPr>
          <w:rFonts w:ascii="Times New Roman" w:hAnsi="Times New Roman" w:hint="default"/>
          <w:sz w:val="26"/>
          <w:szCs w:val="26"/>
          <w:rtl w:val="0"/>
        </w:rPr>
        <w:t>Проєкт вважається завершеним лише у випадку прийняття організацією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грантодавцем підсумкового звіту щодо реалізації Проєкту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якщо інше не передбачено відповідною угодою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4.5. </w:t>
      </w:r>
      <w:r>
        <w:rPr>
          <w:rFonts w:ascii="Times New Roman" w:hAnsi="Times New Roman" w:hint="default"/>
          <w:sz w:val="26"/>
          <w:szCs w:val="26"/>
          <w:rtl w:val="0"/>
        </w:rPr>
        <w:t>При здійсненні будь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яких дій під час виконання Проєкту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 дотримується правил конфіденційності та захисту персональних даних згідно з Законом України «Про захист персональних даних»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4.6. </w:t>
      </w:r>
      <w:r>
        <w:rPr>
          <w:sz w:val="26"/>
          <w:szCs w:val="26"/>
          <w:rtl w:val="0"/>
        </w:rPr>
        <w:t xml:space="preserve">Проєктна документація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змістовна та фінансова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у повному обсязі повинна зберігатись у відповідних структурних підрозділах ХНУМГ імені 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Бекетова протягом дії Проєкту та п’яти років після його завершення</w:t>
      </w:r>
      <w:r>
        <w:rPr>
          <w:sz w:val="26"/>
          <w:szCs w:val="26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4</w:t>
      </w:r>
      <w:r>
        <w:rPr>
          <w:rFonts w:ascii="Times New Roman" w:hAnsi="Times New Roman"/>
          <w:sz w:val="26"/>
          <w:szCs w:val="26"/>
          <w:rtl w:val="0"/>
        </w:rPr>
        <w:t xml:space="preserve">.7. </w:t>
      </w:r>
      <w:r>
        <w:rPr>
          <w:rFonts w:ascii="Times New Roman" w:hAnsi="Times New Roman" w:hint="default"/>
          <w:sz w:val="26"/>
          <w:szCs w:val="26"/>
          <w:rtl w:val="0"/>
        </w:rPr>
        <w:t>У разі неповного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неналежного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не якісного або не виконання зобов’язань проєкту та застосування штрафних санкцій до проєкту програм міжнародної співпраці до партнерства проєкту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всі члени робочої групи будуть залучені до виконання зобов’язань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4.8. </w:t>
      </w:r>
      <w:r>
        <w:rPr>
          <w:rFonts w:ascii="Times New Roman" w:hAnsi="Times New Roman" w:hint="default"/>
          <w:sz w:val="26"/>
          <w:szCs w:val="26"/>
          <w:rtl w:val="0"/>
        </w:rPr>
        <w:t>Контроль за виконанням зобов’язань виконавцями проєкту програми міжнародної співпраці – членами робочих груп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якісну реалізацію проєкту та запровадження його результатів покладається на керівника проєкту від ХНУМГ імені 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Бекетова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зазначеного в наказі відповідно до п</w:t>
      </w:r>
      <w:r>
        <w:rPr>
          <w:rFonts w:ascii="Times New Roman" w:hAnsi="Times New Roman"/>
          <w:sz w:val="26"/>
          <w:szCs w:val="26"/>
          <w:rtl w:val="0"/>
        </w:rPr>
        <w:t xml:space="preserve">. 2.3 </w:t>
      </w:r>
      <w:r>
        <w:rPr>
          <w:rFonts w:ascii="Times New Roman" w:hAnsi="Times New Roman" w:hint="default"/>
          <w:sz w:val="26"/>
          <w:szCs w:val="26"/>
          <w:rtl w:val="0"/>
        </w:rPr>
        <w:t>цього Положення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</w:p>
    <w:p>
      <w:pPr>
        <w:pStyle w:val="Default"/>
        <w:ind w:firstLine="708"/>
        <w:jc w:val="both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4" ma:contentTypeDescription="Создание документа." ma:contentTypeScope="" ma:versionID="6be967eedd36f47f940fbd3fb5927c2d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49970478672a96faa0faa916d0cd55b9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Props1.xml><?xml version="1.0" encoding="utf-8"?>
<ds:datastoreItem xmlns:ds="http://schemas.openxmlformats.org/officeDocument/2006/customXml" ds:itemID="{9A0F6034-391B-4034-915E-694AAEB23018}"/>
</file>

<file path=customXml/itemProps2.xml><?xml version="1.0" encoding="utf-8"?>
<ds:datastoreItem xmlns:ds="http://schemas.openxmlformats.org/officeDocument/2006/customXml" ds:itemID="{99F83E38-0E5A-4896-B93E-BD7FCD4E6118}"/>
</file>

<file path=customXml/itemProps3.xml><?xml version="1.0" encoding="utf-8"?>
<ds:datastoreItem xmlns:ds="http://schemas.openxmlformats.org/officeDocument/2006/customXml" ds:itemID="{1A0265C5-D793-4D8E-91AC-0A2750DC59C4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