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D7" w:rsidRDefault="003E523F" w:rsidP="000100D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A0D46">
        <w:rPr>
          <w:b/>
          <w:sz w:val="28"/>
          <w:szCs w:val="28"/>
          <w:lang w:val="uk-UA"/>
        </w:rPr>
        <w:t>Профіль освітньої програми «</w:t>
      </w:r>
      <w:r w:rsidR="000100D7">
        <w:rPr>
          <w:b/>
          <w:sz w:val="28"/>
          <w:szCs w:val="28"/>
          <w:lang w:val="uk-UA"/>
        </w:rPr>
        <w:t>Охорона</w:t>
      </w:r>
      <w:r w:rsidR="00A6181E" w:rsidRPr="002A0D46">
        <w:rPr>
          <w:b/>
          <w:sz w:val="28"/>
          <w:szCs w:val="28"/>
          <w:lang w:val="uk-UA"/>
        </w:rPr>
        <w:t xml:space="preserve"> праці</w:t>
      </w:r>
      <w:r w:rsidRPr="002A0D46">
        <w:rPr>
          <w:b/>
          <w:sz w:val="28"/>
          <w:szCs w:val="28"/>
          <w:lang w:val="uk-UA"/>
        </w:rPr>
        <w:t xml:space="preserve">» </w:t>
      </w:r>
    </w:p>
    <w:p w:rsidR="008C3CEC" w:rsidRPr="002A0D46" w:rsidRDefault="003E523F" w:rsidP="000100D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A0D46">
        <w:rPr>
          <w:b/>
          <w:sz w:val="28"/>
          <w:szCs w:val="28"/>
          <w:lang w:val="uk-UA"/>
        </w:rPr>
        <w:t>зі спеціальності 263 «Цивільна безпека»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9"/>
        <w:gridCol w:w="6826"/>
      </w:tblGrid>
      <w:tr w:rsidR="00313A38" w:rsidRPr="002A0D46" w:rsidTr="00313A38">
        <w:trPr>
          <w:trHeight w:val="151"/>
        </w:trPr>
        <w:tc>
          <w:tcPr>
            <w:tcW w:w="5000" w:type="pct"/>
            <w:gridSpan w:val="2"/>
            <w:shd w:val="clear" w:color="auto" w:fill="FFFFFF"/>
          </w:tcPr>
          <w:p w:rsidR="00313A38" w:rsidRPr="002A0D46" w:rsidRDefault="00313A38" w:rsidP="00E962A3">
            <w:pPr>
              <w:shd w:val="clear" w:color="auto" w:fill="FFFFFF"/>
              <w:ind w:left="284"/>
              <w:contextualSpacing/>
              <w:jc w:val="center"/>
              <w:textAlignment w:val="baseline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1 – Загальна інформація</w:t>
            </w:r>
          </w:p>
        </w:tc>
      </w:tr>
      <w:tr w:rsidR="00E962A3" w:rsidRPr="002A0D46" w:rsidTr="00C47B99">
        <w:trPr>
          <w:trHeight w:val="151"/>
        </w:trPr>
        <w:tc>
          <w:tcPr>
            <w:tcW w:w="1537" w:type="pct"/>
          </w:tcPr>
          <w:p w:rsidR="00E962A3" w:rsidRPr="002A0D46" w:rsidRDefault="00E962A3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Повна назва вищого навчального закладу</w:t>
            </w:r>
          </w:p>
        </w:tc>
        <w:tc>
          <w:tcPr>
            <w:tcW w:w="3463" w:type="pct"/>
          </w:tcPr>
          <w:p w:rsidR="00E962A3" w:rsidRPr="002A0D46" w:rsidRDefault="00E962A3" w:rsidP="00C47B99">
            <w:pPr>
              <w:shd w:val="clear" w:color="auto" w:fill="FFFFFF"/>
              <w:ind w:left="38"/>
              <w:contextualSpacing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 xml:space="preserve">Харківський національний університет міського господарства імені О.М. </w:t>
            </w:r>
            <w:proofErr w:type="spellStart"/>
            <w:r w:rsidRPr="002A0D46">
              <w:rPr>
                <w:lang w:val="uk-UA" w:eastAsia="uk-UA"/>
              </w:rPr>
              <w:t>Бекетова</w:t>
            </w:r>
            <w:proofErr w:type="spellEnd"/>
          </w:p>
        </w:tc>
      </w:tr>
      <w:tr w:rsidR="00E962A3" w:rsidRPr="002A0D46" w:rsidTr="00C47B99">
        <w:trPr>
          <w:trHeight w:val="151"/>
        </w:trPr>
        <w:tc>
          <w:tcPr>
            <w:tcW w:w="1537" w:type="pct"/>
          </w:tcPr>
          <w:p w:rsidR="00E962A3" w:rsidRPr="002A0D46" w:rsidRDefault="00E962A3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3463" w:type="pct"/>
          </w:tcPr>
          <w:p w:rsidR="00E962A3" w:rsidRPr="002A0D46" w:rsidRDefault="00E962A3" w:rsidP="00C47B99">
            <w:pPr>
              <w:shd w:val="clear" w:color="auto" w:fill="FFFFFF"/>
              <w:ind w:left="38"/>
              <w:contextualSpacing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Бакалавр з цивільної безпеки</w:t>
            </w:r>
          </w:p>
        </w:tc>
      </w:tr>
      <w:tr w:rsidR="00E962A3" w:rsidRPr="002A0D46" w:rsidTr="00C47B99">
        <w:trPr>
          <w:trHeight w:val="652"/>
        </w:trPr>
        <w:tc>
          <w:tcPr>
            <w:tcW w:w="1537" w:type="pct"/>
          </w:tcPr>
          <w:p w:rsidR="00E962A3" w:rsidRPr="002A0D46" w:rsidRDefault="00E962A3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3463" w:type="pct"/>
          </w:tcPr>
          <w:p w:rsidR="00E962A3" w:rsidRPr="002A0D46" w:rsidRDefault="000100D7" w:rsidP="00C47B99">
            <w:pPr>
              <w:shd w:val="clear" w:color="auto" w:fill="FFFFFF"/>
              <w:ind w:left="38"/>
              <w:contextualSpacing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Охорона</w:t>
            </w:r>
            <w:r w:rsidR="003D1BFB" w:rsidRPr="002A0D46">
              <w:rPr>
                <w:lang w:val="uk-UA" w:eastAsia="uk-UA"/>
              </w:rPr>
              <w:t xml:space="preserve"> праці</w:t>
            </w:r>
          </w:p>
        </w:tc>
      </w:tr>
      <w:tr w:rsidR="00E962A3" w:rsidRPr="002A0D46" w:rsidTr="00C47B99">
        <w:trPr>
          <w:trHeight w:val="312"/>
        </w:trPr>
        <w:tc>
          <w:tcPr>
            <w:tcW w:w="1537" w:type="pct"/>
          </w:tcPr>
          <w:p w:rsidR="00E962A3" w:rsidRPr="002A0D46" w:rsidRDefault="00E962A3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3463" w:type="pct"/>
          </w:tcPr>
          <w:p w:rsidR="00E962A3" w:rsidRPr="002A0D46" w:rsidRDefault="00E962A3" w:rsidP="00C47B99">
            <w:pPr>
              <w:shd w:val="clear" w:color="auto" w:fill="FFFFFF"/>
              <w:ind w:left="38"/>
              <w:contextualSpacing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Диплом бакалавра, одиничний, 240 кредитів ЄКТС, термін навчання 3 роки 10 місяців</w:t>
            </w:r>
          </w:p>
        </w:tc>
      </w:tr>
      <w:tr w:rsidR="00E962A3" w:rsidRPr="002A0D46" w:rsidTr="00C47B99">
        <w:tc>
          <w:tcPr>
            <w:tcW w:w="1537" w:type="pct"/>
          </w:tcPr>
          <w:p w:rsidR="00E962A3" w:rsidRPr="002A0D46" w:rsidRDefault="00E962A3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Наявність акредитації</w:t>
            </w:r>
          </w:p>
        </w:tc>
        <w:tc>
          <w:tcPr>
            <w:tcW w:w="3463" w:type="pct"/>
          </w:tcPr>
          <w:p w:rsidR="00605C6B" w:rsidRPr="00605C6B" w:rsidRDefault="00605C6B" w:rsidP="00605C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05C6B">
              <w:rPr>
                <w:lang w:val="uk-UA"/>
              </w:rPr>
              <w:t xml:space="preserve">ертифікат про акредитацію </w:t>
            </w:r>
          </w:p>
          <w:p w:rsidR="00E962A3" w:rsidRPr="002A0D46" w:rsidRDefault="00605C6B" w:rsidP="00605C6B">
            <w:pPr>
              <w:ind w:left="38"/>
              <w:jc w:val="both"/>
              <w:rPr>
                <w:lang w:val="uk-UA"/>
              </w:rPr>
            </w:pPr>
            <w:r w:rsidRPr="00605C6B">
              <w:rPr>
                <w:lang w:val="uk-UA"/>
              </w:rPr>
              <w:t>УД 21011701, дійсний до 01.07.2024</w:t>
            </w:r>
          </w:p>
        </w:tc>
      </w:tr>
      <w:tr w:rsidR="00A0086F" w:rsidRPr="00655484" w:rsidTr="00C47B99"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Цикл / рівень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 xml:space="preserve">Перший (бакалаврський) рівень </w:t>
            </w:r>
          </w:p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 xml:space="preserve">НРК України – </w:t>
            </w:r>
            <w:r w:rsidR="00F17B39" w:rsidRPr="002A0D46">
              <w:rPr>
                <w:lang w:val="uk-UA" w:eastAsia="uk-UA"/>
              </w:rPr>
              <w:t>6</w:t>
            </w:r>
            <w:r w:rsidRPr="002A0D46">
              <w:rPr>
                <w:lang w:val="uk-UA" w:eastAsia="uk-UA"/>
              </w:rPr>
              <w:t xml:space="preserve"> рівень</w:t>
            </w:r>
          </w:p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FQ-EHEA – перший цикл</w:t>
            </w:r>
          </w:p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EQF-ELL – 6 рівень</w:t>
            </w:r>
          </w:p>
        </w:tc>
      </w:tr>
      <w:tr w:rsidR="00A0086F" w:rsidRPr="002A0D46" w:rsidTr="00C47B99"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Вимоги до рівня освіти вступника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Наявність повної загальної середньої освіти</w:t>
            </w:r>
          </w:p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загальні провила щодо передумов вступу</w:t>
            </w:r>
          </w:p>
        </w:tc>
      </w:tr>
      <w:tr w:rsidR="00A0086F" w:rsidRPr="002A0D46" w:rsidTr="00C47B99"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Мова викладання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Українська</w:t>
            </w:r>
          </w:p>
        </w:tc>
      </w:tr>
      <w:tr w:rsidR="00A0086F" w:rsidRPr="002A0D46" w:rsidTr="00C47B99"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Термін дії освітньої програми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2A0D46">
              <w:rPr>
                <w:lang w:val="uk-UA" w:eastAsia="uk-UA"/>
              </w:rPr>
              <w:t>5 років</w:t>
            </w:r>
          </w:p>
        </w:tc>
      </w:tr>
      <w:tr w:rsidR="00A0086F" w:rsidRPr="00655484" w:rsidTr="00C47B99"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proofErr w:type="spellStart"/>
            <w:r w:rsidRPr="002A0D46">
              <w:rPr>
                <w:b/>
                <w:lang w:val="uk-UA" w:eastAsia="uk-UA"/>
              </w:rPr>
              <w:t>Інтернет-адреса</w:t>
            </w:r>
            <w:proofErr w:type="spellEnd"/>
            <w:r w:rsidRPr="002A0D46">
              <w:rPr>
                <w:b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 w:eastAsia="uk-UA"/>
              </w:rPr>
            </w:pPr>
            <w:r w:rsidRPr="00AF2F53">
              <w:rPr>
                <w:lang w:val="uk-UA" w:eastAsia="uk-UA"/>
              </w:rPr>
              <w:t>https://www.kname.edu.ua/images/Files/ECTS/u_Inf_P_R3_Bak_26.PDF</w:t>
            </w:r>
          </w:p>
        </w:tc>
      </w:tr>
      <w:tr w:rsidR="00A0086F" w:rsidRPr="002A0D46" w:rsidTr="00A0086F">
        <w:trPr>
          <w:trHeight w:val="151"/>
        </w:trPr>
        <w:tc>
          <w:tcPr>
            <w:tcW w:w="5000" w:type="pct"/>
            <w:gridSpan w:val="2"/>
          </w:tcPr>
          <w:p w:rsidR="00A0086F" w:rsidRPr="002A0D46" w:rsidRDefault="00A0086F" w:rsidP="00A0086F">
            <w:pPr>
              <w:shd w:val="clear" w:color="auto" w:fill="FFFFFF"/>
              <w:ind w:left="284"/>
              <w:jc w:val="center"/>
              <w:textAlignment w:val="baseline"/>
              <w:rPr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2 – Мета освітньої програми</w:t>
            </w:r>
          </w:p>
        </w:tc>
      </w:tr>
      <w:tr w:rsidR="00313A38" w:rsidRPr="002A0D46" w:rsidTr="00313A38">
        <w:trPr>
          <w:trHeight w:val="151"/>
        </w:trPr>
        <w:tc>
          <w:tcPr>
            <w:tcW w:w="5000" w:type="pct"/>
            <w:gridSpan w:val="2"/>
          </w:tcPr>
          <w:p w:rsidR="00313A38" w:rsidRPr="002A0D46" w:rsidRDefault="00E33488" w:rsidP="007E6D92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E33488">
              <w:rPr>
                <w:lang w:val="uk-UA" w:eastAsia="uk-UA"/>
              </w:rPr>
              <w:t xml:space="preserve">Підготовка фахівців, які </w:t>
            </w:r>
            <w:r w:rsidR="007E6D92">
              <w:rPr>
                <w:lang w:val="uk-UA" w:eastAsia="uk-UA"/>
              </w:rPr>
              <w:t>володіють</w:t>
            </w:r>
            <w:r w:rsidRPr="00E33488">
              <w:rPr>
                <w:lang w:val="uk-UA" w:eastAsia="uk-UA"/>
              </w:rPr>
              <w:t xml:space="preserve"> </w:t>
            </w:r>
            <w:proofErr w:type="spellStart"/>
            <w:r w:rsidRPr="00E33488">
              <w:rPr>
                <w:lang w:val="uk-UA" w:eastAsia="uk-UA"/>
              </w:rPr>
              <w:t>компетентностями</w:t>
            </w:r>
            <w:proofErr w:type="spellEnd"/>
            <w:r w:rsidRPr="00E33488">
              <w:rPr>
                <w:lang w:val="uk-UA" w:eastAsia="uk-UA"/>
              </w:rPr>
              <w:t xml:space="preserve">, </w:t>
            </w:r>
            <w:r w:rsidR="007E6D92">
              <w:rPr>
                <w:lang w:val="uk-UA" w:eastAsia="uk-UA"/>
              </w:rPr>
              <w:t>необхідними</w:t>
            </w:r>
            <w:r w:rsidRPr="00E33488">
              <w:rPr>
                <w:lang w:val="uk-UA" w:eastAsia="uk-UA"/>
              </w:rPr>
              <w:t xml:space="preserve"> для створення і підтримання здорових та безпечних умов праці, життєдіяльності людини, забезпечення цивільного захисту, техногенної безпеки, а також реагування на надзвичайні ситуації та ліквідацію їх наслідків</w:t>
            </w:r>
          </w:p>
        </w:tc>
      </w:tr>
      <w:tr w:rsidR="00A0086F" w:rsidRPr="002A0D46" w:rsidTr="00A0086F">
        <w:trPr>
          <w:trHeight w:val="151"/>
        </w:trPr>
        <w:tc>
          <w:tcPr>
            <w:tcW w:w="5000" w:type="pct"/>
            <w:gridSpan w:val="2"/>
          </w:tcPr>
          <w:p w:rsidR="00A0086F" w:rsidRPr="002A0D46" w:rsidRDefault="00A0086F" w:rsidP="00A0086F">
            <w:pPr>
              <w:shd w:val="clear" w:color="auto" w:fill="FFFFFF"/>
              <w:ind w:left="284"/>
              <w:jc w:val="center"/>
              <w:textAlignment w:val="baseline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3 – Характеристика освітньої програми</w:t>
            </w:r>
          </w:p>
        </w:tc>
      </w:tr>
      <w:tr w:rsidR="00E962A3" w:rsidRPr="00655484" w:rsidTr="00C47B99">
        <w:trPr>
          <w:trHeight w:val="151"/>
        </w:trPr>
        <w:tc>
          <w:tcPr>
            <w:tcW w:w="1537" w:type="pct"/>
          </w:tcPr>
          <w:p w:rsidR="00E962A3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Предметна область</w:t>
            </w:r>
          </w:p>
        </w:tc>
        <w:tc>
          <w:tcPr>
            <w:tcW w:w="3463" w:type="pct"/>
          </w:tcPr>
          <w:p w:rsidR="00F17B39" w:rsidRPr="002A0D46" w:rsidRDefault="008F5F3C" w:rsidP="00C47B99">
            <w:pPr>
              <w:shd w:val="clear" w:color="auto" w:fill="FFFFFF"/>
              <w:ind w:left="38"/>
              <w:jc w:val="both"/>
              <w:textAlignment w:val="baseline"/>
              <w:rPr>
                <w:lang w:val="uk-UA" w:eastAsia="uk-UA"/>
              </w:rPr>
            </w:pPr>
            <w:r w:rsidRPr="008F5F3C">
              <w:rPr>
                <w:lang w:val="uk-UA" w:eastAsia="uk-UA"/>
              </w:rPr>
              <w:t>Професійно-орієнтована програма, спрямована на підготовку фахівців в галузі цивільної безпеки, які здатні оцінювати виробничі ризики та приймати управлінські рішення стосовно захисту працівників від дії небезпечних та шкідливих виробничих факторів, підвищення р</w:t>
            </w:r>
            <w:r>
              <w:rPr>
                <w:lang w:val="uk-UA" w:eastAsia="uk-UA"/>
              </w:rPr>
              <w:t xml:space="preserve">івня промислової безпеки праці </w:t>
            </w:r>
            <w:r w:rsidRPr="008F5F3C">
              <w:rPr>
                <w:lang w:val="uk-UA" w:eastAsia="uk-UA"/>
              </w:rPr>
              <w:t>та дій щодо попередження аварій, виробничого травматизму та професійних захворювань</w:t>
            </w:r>
            <w:r w:rsidR="00F17B39" w:rsidRPr="002A0D46">
              <w:rPr>
                <w:lang w:val="uk-UA" w:eastAsia="uk-UA"/>
              </w:rPr>
              <w:t>.</w:t>
            </w:r>
          </w:p>
          <w:p w:rsidR="00C47B99" w:rsidRPr="002A0D46" w:rsidRDefault="00C47B99" w:rsidP="00C47B99">
            <w:pPr>
              <w:shd w:val="clear" w:color="auto" w:fill="FFFFFF"/>
              <w:ind w:left="38"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i/>
                <w:lang w:val="uk-UA" w:eastAsia="uk-UA"/>
              </w:rPr>
              <w:t xml:space="preserve">Об’єкт: </w:t>
            </w:r>
            <w:r w:rsidRPr="002A0D46">
              <w:rPr>
                <w:lang w:val="uk-UA" w:eastAsia="uk-UA"/>
              </w:rPr>
              <w:t xml:space="preserve">людина – збереження її життя, </w:t>
            </w:r>
            <w:r w:rsidR="00B007FD" w:rsidRPr="002A0D46">
              <w:rPr>
                <w:lang w:val="uk-UA" w:eastAsia="uk-UA"/>
              </w:rPr>
              <w:t>здоров’я</w:t>
            </w:r>
            <w:r w:rsidRPr="002A0D46">
              <w:rPr>
                <w:lang w:val="uk-UA" w:eastAsia="uk-UA"/>
              </w:rPr>
              <w:t xml:space="preserve"> та працездатності в трудовому процесі, в умовах надзвичайної ситуації;</w:t>
            </w:r>
          </w:p>
          <w:p w:rsidR="00C47B99" w:rsidRPr="002A0D46" w:rsidRDefault="00B007FD" w:rsidP="00C47B99">
            <w:pPr>
              <w:shd w:val="clear" w:color="auto" w:fill="FFFFFF"/>
              <w:ind w:left="38"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i/>
                <w:lang w:val="uk-UA" w:eastAsia="uk-UA"/>
              </w:rPr>
              <w:t>Суб’єкт</w:t>
            </w:r>
            <w:r w:rsidR="00C47B99" w:rsidRPr="002A0D46">
              <w:rPr>
                <w:i/>
                <w:lang w:val="uk-UA" w:eastAsia="uk-UA"/>
              </w:rPr>
              <w:t xml:space="preserve"> </w:t>
            </w:r>
            <w:r w:rsidR="00C47B99" w:rsidRPr="002A0D46">
              <w:rPr>
                <w:lang w:val="uk-UA" w:eastAsia="uk-UA"/>
              </w:rPr>
              <w:t>господарювання</w:t>
            </w:r>
            <w:r w:rsidR="004A7379" w:rsidRPr="002A0D46">
              <w:rPr>
                <w:lang w:val="uk-UA" w:eastAsia="uk-UA"/>
              </w:rPr>
              <w:t xml:space="preserve"> –</w:t>
            </w:r>
            <w:r w:rsidR="00C47B99" w:rsidRPr="002A0D46">
              <w:rPr>
                <w:lang w:val="uk-UA" w:eastAsia="uk-UA"/>
              </w:rPr>
              <w:t xml:space="preserve"> </w:t>
            </w:r>
            <w:r w:rsidR="007214B5" w:rsidRPr="002A0D46">
              <w:rPr>
                <w:lang w:val="uk-UA" w:eastAsia="uk-UA"/>
              </w:rPr>
              <w:t>промисловий, сільськогосподарський чи транспортний об’єкт, небезпечне природне явище чи виробничий процес, що за певних обставин можуть створити реальну загрозу виникнення аварії, надзвичайної ситуації.</w:t>
            </w:r>
          </w:p>
          <w:p w:rsidR="007214B5" w:rsidRPr="002A0D46" w:rsidRDefault="007214B5" w:rsidP="00C47B99">
            <w:pPr>
              <w:shd w:val="clear" w:color="auto" w:fill="FFFFFF"/>
              <w:ind w:left="38"/>
              <w:jc w:val="both"/>
              <w:textAlignment w:val="baseline"/>
              <w:rPr>
                <w:lang w:val="uk-UA" w:eastAsia="uk-UA"/>
              </w:rPr>
            </w:pPr>
            <w:r w:rsidRPr="002A0D46">
              <w:rPr>
                <w:i/>
                <w:lang w:val="uk-UA" w:eastAsia="uk-UA"/>
              </w:rPr>
              <w:t xml:space="preserve">Мета навчання: </w:t>
            </w:r>
            <w:r w:rsidRPr="002A0D46">
              <w:rPr>
                <w:lang w:val="uk-UA" w:eastAsia="uk-UA"/>
              </w:rPr>
              <w:t xml:space="preserve">підготовка фахівців, які можуть оволодіти </w:t>
            </w:r>
            <w:proofErr w:type="spellStart"/>
            <w:r w:rsidRPr="002A0D46">
              <w:rPr>
                <w:lang w:val="uk-UA" w:eastAsia="uk-UA"/>
              </w:rPr>
              <w:t>компетентностями</w:t>
            </w:r>
            <w:proofErr w:type="spellEnd"/>
            <w:r w:rsidRPr="002A0D46">
              <w:rPr>
                <w:lang w:val="uk-UA" w:eastAsia="uk-UA"/>
              </w:rPr>
              <w:t>, потрібними для створення і підтримання здорових та безпечних умов праці, життєдіяльності людини, забезпечення цивільного захисту, техногенної безпеки, а також реагування на надзвичайні ситуації та ліквідацію їх наслідків.</w:t>
            </w:r>
          </w:p>
          <w:p w:rsidR="007214B5" w:rsidRPr="002A0D46" w:rsidRDefault="007214B5" w:rsidP="002212B1">
            <w:pPr>
              <w:shd w:val="clear" w:color="auto" w:fill="FFFFFF"/>
              <w:ind w:left="38"/>
              <w:jc w:val="both"/>
              <w:textAlignment w:val="baseline"/>
              <w:rPr>
                <w:b/>
                <w:lang w:val="uk-UA" w:eastAsia="uk-UA"/>
              </w:rPr>
            </w:pPr>
            <w:r w:rsidRPr="002A0D46">
              <w:rPr>
                <w:i/>
                <w:lang w:val="uk-UA" w:eastAsia="uk-UA"/>
              </w:rPr>
              <w:lastRenderedPageBreak/>
              <w:t xml:space="preserve">Теоретичний зміст предметної області: </w:t>
            </w:r>
            <w:r w:rsidRPr="002A0D46">
              <w:rPr>
                <w:lang w:val="uk-UA" w:eastAsia="uk-UA"/>
              </w:rPr>
              <w:t>поняття, правові норми, вимоги і правила, а також</w:t>
            </w:r>
            <w:r w:rsidRPr="002A0D46">
              <w:rPr>
                <w:i/>
                <w:lang w:val="uk-UA" w:eastAsia="uk-UA"/>
              </w:rPr>
              <w:t xml:space="preserve"> </w:t>
            </w:r>
            <w:r w:rsidRPr="002A0D46">
              <w:rPr>
                <w:lang w:val="uk-UA" w:eastAsia="uk-UA"/>
              </w:rPr>
              <w:t>комплекс організаційних, технічних і спеціальних заходів</w:t>
            </w:r>
            <w:r w:rsidR="00B007FD" w:rsidRPr="002A0D46">
              <w:rPr>
                <w:lang w:val="uk-UA" w:eastAsia="uk-UA"/>
              </w:rPr>
              <w:t xml:space="preserve"> і засобів, спрямованих на збереження здоров’я та працездатності людини в трудовому процесі, для захисту населення , території, навколишнього природного </w:t>
            </w:r>
            <w:r w:rsidR="00837993" w:rsidRPr="002A0D46">
              <w:rPr>
                <w:lang w:val="uk-UA" w:eastAsia="uk-UA"/>
              </w:rPr>
              <w:t xml:space="preserve">середовища та майна від наслідків надзвичайних ситуацій. </w:t>
            </w:r>
          </w:p>
        </w:tc>
      </w:tr>
      <w:tr w:rsidR="00A0086F" w:rsidRPr="002A0D46" w:rsidTr="00C47B99">
        <w:trPr>
          <w:trHeight w:val="333"/>
        </w:trPr>
        <w:tc>
          <w:tcPr>
            <w:tcW w:w="1537" w:type="pct"/>
          </w:tcPr>
          <w:p w:rsidR="00A0086F" w:rsidRPr="002A0D46" w:rsidRDefault="00A0086F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lastRenderedPageBreak/>
              <w:t>Орієнтація освітньої програми</w:t>
            </w:r>
          </w:p>
        </w:tc>
        <w:tc>
          <w:tcPr>
            <w:tcW w:w="3463" w:type="pct"/>
          </w:tcPr>
          <w:p w:rsidR="00A0086F" w:rsidRPr="002A0D46" w:rsidRDefault="00A0086F" w:rsidP="00C47B99">
            <w:pPr>
              <w:ind w:left="38"/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>Освітньо-професійна</w:t>
            </w:r>
          </w:p>
        </w:tc>
      </w:tr>
      <w:tr w:rsidR="00A0086F" w:rsidRPr="002A0D46" w:rsidTr="00C47B99">
        <w:trPr>
          <w:trHeight w:val="333"/>
        </w:trPr>
        <w:tc>
          <w:tcPr>
            <w:tcW w:w="1537" w:type="pct"/>
          </w:tcPr>
          <w:p w:rsidR="00A0086F" w:rsidRPr="002A0D46" w:rsidRDefault="00601831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3463" w:type="pct"/>
          </w:tcPr>
          <w:p w:rsidR="008F5F3C" w:rsidRPr="008F5F3C" w:rsidRDefault="008F5F3C" w:rsidP="008F5F3C">
            <w:pPr>
              <w:ind w:left="38"/>
              <w:jc w:val="both"/>
              <w:rPr>
                <w:lang w:val="uk-UA"/>
              </w:rPr>
            </w:pPr>
            <w:r w:rsidRPr="008F5F3C">
              <w:rPr>
                <w:lang w:val="uk-UA"/>
              </w:rPr>
              <w:t xml:space="preserve">Основний фокус освітньої програми полягає у набутті майбутніми фахівцями </w:t>
            </w:r>
            <w:proofErr w:type="spellStart"/>
            <w:r w:rsidRPr="008F5F3C">
              <w:rPr>
                <w:lang w:val="uk-UA"/>
              </w:rPr>
              <w:t>компетентностей</w:t>
            </w:r>
            <w:proofErr w:type="spellEnd"/>
            <w:r w:rsidRPr="008F5F3C">
              <w:rPr>
                <w:lang w:val="uk-UA"/>
              </w:rPr>
              <w:t>, необхідних для організ</w:t>
            </w:r>
            <w:r>
              <w:rPr>
                <w:lang w:val="uk-UA"/>
              </w:rPr>
              <w:t>ації безпечної професійної діяльності.</w:t>
            </w:r>
          </w:p>
          <w:p w:rsidR="002D2C08" w:rsidRPr="002A0D46" w:rsidRDefault="008F5F3C" w:rsidP="008F5F3C">
            <w:pPr>
              <w:ind w:left="38"/>
              <w:jc w:val="both"/>
              <w:rPr>
                <w:lang w:val="uk-UA"/>
              </w:rPr>
            </w:pPr>
            <w:r w:rsidRPr="008F5F3C">
              <w:rPr>
                <w:i/>
                <w:lang w:val="uk-UA"/>
              </w:rPr>
              <w:t>Ключові слова:</w:t>
            </w:r>
            <w:r w:rsidRPr="008F5F3C">
              <w:rPr>
                <w:lang w:val="uk-UA"/>
              </w:rPr>
              <w:t xml:space="preserve"> безпека, ризик, травматизм, </w:t>
            </w:r>
            <w:r>
              <w:rPr>
                <w:lang w:val="uk-UA"/>
              </w:rPr>
              <w:t>охорона праці</w:t>
            </w:r>
          </w:p>
        </w:tc>
      </w:tr>
      <w:tr w:rsidR="00A0086F" w:rsidRPr="002A0D46" w:rsidTr="00C47B99">
        <w:trPr>
          <w:trHeight w:val="333"/>
        </w:trPr>
        <w:tc>
          <w:tcPr>
            <w:tcW w:w="1537" w:type="pct"/>
          </w:tcPr>
          <w:p w:rsidR="00A0086F" w:rsidRPr="002A0D46" w:rsidRDefault="002D2C08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Особливості програми</w:t>
            </w:r>
          </w:p>
        </w:tc>
        <w:tc>
          <w:tcPr>
            <w:tcW w:w="3463" w:type="pct"/>
          </w:tcPr>
          <w:p w:rsidR="005F0266" w:rsidRPr="002A0D46" w:rsidRDefault="008F5F3C" w:rsidP="00F17B39">
            <w:pPr>
              <w:ind w:left="35"/>
              <w:jc w:val="both"/>
              <w:rPr>
                <w:lang w:val="uk-UA"/>
              </w:rPr>
            </w:pPr>
            <w:r w:rsidRPr="008F5F3C">
              <w:rPr>
                <w:lang w:val="uk-UA"/>
              </w:rPr>
              <w:t xml:space="preserve">Програма спрямована на формування </w:t>
            </w:r>
            <w:proofErr w:type="spellStart"/>
            <w:r w:rsidRPr="008F5F3C">
              <w:rPr>
                <w:lang w:val="uk-UA"/>
              </w:rPr>
              <w:t>компетентностей</w:t>
            </w:r>
            <w:proofErr w:type="spellEnd"/>
            <w:r w:rsidRPr="008F5F3C">
              <w:rPr>
                <w:lang w:val="uk-UA"/>
              </w:rPr>
              <w:t xml:space="preserve"> щодо забезпечення цивільної безпеки та охорони праці, зокрема на об’єктах комунальної інфраструктури</w:t>
            </w:r>
          </w:p>
        </w:tc>
      </w:tr>
      <w:tr w:rsidR="0012337B" w:rsidRPr="002A0D46" w:rsidTr="0012337B">
        <w:trPr>
          <w:trHeight w:val="333"/>
        </w:trPr>
        <w:tc>
          <w:tcPr>
            <w:tcW w:w="5000" w:type="pct"/>
            <w:gridSpan w:val="2"/>
          </w:tcPr>
          <w:p w:rsidR="0012337B" w:rsidRPr="002A0D46" w:rsidRDefault="0012337B" w:rsidP="0012337B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12337B" w:rsidRPr="002A0D46" w:rsidTr="00C47B99">
        <w:trPr>
          <w:trHeight w:val="333"/>
        </w:trPr>
        <w:tc>
          <w:tcPr>
            <w:tcW w:w="1537" w:type="pct"/>
          </w:tcPr>
          <w:p w:rsidR="0012337B" w:rsidRPr="002A0D46" w:rsidRDefault="0012337B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3463" w:type="pct"/>
          </w:tcPr>
          <w:p w:rsidR="0012337B" w:rsidRPr="002A0D46" w:rsidRDefault="0012337B" w:rsidP="00A2505E">
            <w:pPr>
              <w:jc w:val="both"/>
              <w:rPr>
                <w:lang w:val="uk-UA"/>
              </w:rPr>
            </w:pPr>
            <w:r w:rsidRPr="002A0D46">
              <w:rPr>
                <w:lang w:val="uk-UA" w:eastAsia="uk-UA"/>
              </w:rPr>
              <w:t xml:space="preserve">Відповідно до здобутої освітньої кваліфікації бакалавр здатний виконувати професійні роботи за професіями, зазначеними у </w:t>
            </w:r>
            <w:proofErr w:type="spellStart"/>
            <w:r w:rsidRPr="002A0D46">
              <w:rPr>
                <w:lang w:val="uk-UA" w:eastAsia="uk-UA"/>
              </w:rPr>
              <w:t>ДК</w:t>
            </w:r>
            <w:proofErr w:type="spellEnd"/>
            <w:r w:rsidRPr="002A0D46">
              <w:rPr>
                <w:lang w:val="uk-UA" w:eastAsia="uk-UA"/>
              </w:rPr>
              <w:t xml:space="preserve"> 003:2010 Національний класифікатор України. Класифікатор професій,  а саме: «Інспектор з охорони праці», код </w:t>
            </w:r>
            <w:proofErr w:type="spellStart"/>
            <w:r w:rsidRPr="002A0D46">
              <w:rPr>
                <w:lang w:val="uk-UA" w:eastAsia="uk-UA"/>
              </w:rPr>
              <w:t>КП</w:t>
            </w:r>
            <w:proofErr w:type="spellEnd"/>
            <w:r w:rsidRPr="002A0D46">
              <w:rPr>
                <w:lang w:val="uk-UA" w:eastAsia="uk-UA"/>
              </w:rPr>
              <w:t xml:space="preserve"> 3152; «Інспектор державний з питань цивільного захисту та техногенної безпеки», код </w:t>
            </w:r>
            <w:proofErr w:type="spellStart"/>
            <w:r w:rsidRPr="002A0D46">
              <w:rPr>
                <w:lang w:val="uk-UA" w:eastAsia="uk-UA"/>
              </w:rPr>
              <w:t>КП</w:t>
            </w:r>
            <w:proofErr w:type="spellEnd"/>
            <w:r w:rsidRPr="002A0D46">
              <w:rPr>
                <w:lang w:val="uk-UA" w:eastAsia="uk-UA"/>
              </w:rPr>
              <w:t xml:space="preserve"> 3449</w:t>
            </w:r>
            <w:r w:rsidR="004A7379" w:rsidRPr="002A0D46">
              <w:rPr>
                <w:lang w:val="uk-UA" w:eastAsia="uk-UA"/>
              </w:rPr>
              <w:t xml:space="preserve"> </w:t>
            </w:r>
          </w:p>
        </w:tc>
      </w:tr>
      <w:tr w:rsidR="0012337B" w:rsidRPr="002A0D46" w:rsidTr="00C47B99">
        <w:trPr>
          <w:trHeight w:val="333"/>
        </w:trPr>
        <w:tc>
          <w:tcPr>
            <w:tcW w:w="1537" w:type="pct"/>
          </w:tcPr>
          <w:p w:rsidR="0012337B" w:rsidRPr="002A0D46" w:rsidRDefault="0012337B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Подальше навчання</w:t>
            </w:r>
          </w:p>
        </w:tc>
        <w:tc>
          <w:tcPr>
            <w:tcW w:w="3463" w:type="pct"/>
          </w:tcPr>
          <w:p w:rsidR="0012337B" w:rsidRPr="002A0D46" w:rsidRDefault="0094211B" w:rsidP="002212B1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>Здобуття ступеня магістра</w:t>
            </w:r>
          </w:p>
        </w:tc>
      </w:tr>
      <w:tr w:rsidR="00AC5FCD" w:rsidRPr="002A0D46" w:rsidTr="00AC5FCD">
        <w:trPr>
          <w:trHeight w:val="333"/>
        </w:trPr>
        <w:tc>
          <w:tcPr>
            <w:tcW w:w="5000" w:type="pct"/>
            <w:gridSpan w:val="2"/>
          </w:tcPr>
          <w:p w:rsidR="00AC5FCD" w:rsidRPr="002A0D46" w:rsidRDefault="00AC5FCD" w:rsidP="00AC5FCD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t>5 – Викладання та оцінювання</w:t>
            </w:r>
          </w:p>
        </w:tc>
      </w:tr>
      <w:tr w:rsidR="00313A38" w:rsidRPr="00655484" w:rsidTr="00C47B99">
        <w:trPr>
          <w:trHeight w:val="333"/>
        </w:trPr>
        <w:tc>
          <w:tcPr>
            <w:tcW w:w="1537" w:type="pct"/>
          </w:tcPr>
          <w:p w:rsidR="00313A38" w:rsidRPr="002A0D46" w:rsidRDefault="00313A38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Викладання та навчання</w:t>
            </w:r>
          </w:p>
        </w:tc>
        <w:tc>
          <w:tcPr>
            <w:tcW w:w="3463" w:type="pct"/>
          </w:tcPr>
          <w:p w:rsidR="00313A38" w:rsidRPr="002A0D46" w:rsidRDefault="00313A38" w:rsidP="00313A38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 xml:space="preserve">Викладання та навчання включає: лекційні і практичні заняття, самостійне навчання, індивідуальні консультації з викладачами, практики та виконання кваліфікаційної роботи бакалавра </w:t>
            </w:r>
          </w:p>
        </w:tc>
      </w:tr>
      <w:tr w:rsidR="00313A38" w:rsidRPr="00655484" w:rsidTr="00C47B99">
        <w:trPr>
          <w:trHeight w:val="333"/>
        </w:trPr>
        <w:tc>
          <w:tcPr>
            <w:tcW w:w="1537" w:type="pct"/>
          </w:tcPr>
          <w:p w:rsidR="00313A38" w:rsidRPr="002A0D46" w:rsidRDefault="00313A38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Оцінювання</w:t>
            </w:r>
          </w:p>
        </w:tc>
        <w:tc>
          <w:tcPr>
            <w:tcW w:w="3463" w:type="pct"/>
          </w:tcPr>
          <w:p w:rsidR="00313A38" w:rsidRPr="002A0D46" w:rsidRDefault="00313A38" w:rsidP="00313A3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>Усне та письмове опитування, тестові завдання, курсові роботи, розрахунково-графічні завдання, звіти з практик, усні та письмові екзамени, диференційовані заліки, захист кваліфікаційної роботи бакалавра.</w:t>
            </w:r>
          </w:p>
        </w:tc>
      </w:tr>
      <w:tr w:rsidR="00AC5FCD" w:rsidRPr="002A0D46" w:rsidTr="00AC5FCD">
        <w:trPr>
          <w:trHeight w:val="333"/>
        </w:trPr>
        <w:tc>
          <w:tcPr>
            <w:tcW w:w="5000" w:type="pct"/>
            <w:gridSpan w:val="2"/>
          </w:tcPr>
          <w:p w:rsidR="00AC5FCD" w:rsidRPr="002A0D46" w:rsidRDefault="00AC5FCD" w:rsidP="00AC5FCD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t>6 – Програмні компетентності</w:t>
            </w:r>
          </w:p>
        </w:tc>
      </w:tr>
      <w:tr w:rsidR="0012337B" w:rsidRPr="00655484" w:rsidTr="00C47B99">
        <w:trPr>
          <w:trHeight w:val="333"/>
        </w:trPr>
        <w:tc>
          <w:tcPr>
            <w:tcW w:w="1537" w:type="pct"/>
          </w:tcPr>
          <w:p w:rsidR="0012337B" w:rsidRPr="002A0D46" w:rsidRDefault="00AC5FCD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Інтегральна компетентність</w:t>
            </w:r>
          </w:p>
        </w:tc>
        <w:tc>
          <w:tcPr>
            <w:tcW w:w="3463" w:type="pct"/>
          </w:tcPr>
          <w:p w:rsidR="00E867B0" w:rsidRPr="002A0D46" w:rsidRDefault="00E867B0" w:rsidP="002212B1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>Здатність розв’язати складні спеціалізовані задачі та проблеми</w:t>
            </w:r>
            <w:r w:rsidR="005345A1" w:rsidRPr="002A0D46">
              <w:rPr>
                <w:lang w:val="uk-UA"/>
              </w:rPr>
              <w:t>, що характеризуються комплексністю та невизначеністю умов, під час практичної діяльності або у процесі навчання</w:t>
            </w:r>
            <w:r w:rsidR="00D81F5E" w:rsidRPr="002A0D46">
              <w:rPr>
                <w:lang w:val="uk-UA"/>
              </w:rPr>
              <w:t>, яка передбачає застосування теорій та методів проведення</w:t>
            </w:r>
            <w:r w:rsidR="005345A1" w:rsidRPr="002A0D46">
              <w:rPr>
                <w:lang w:val="uk-UA"/>
              </w:rPr>
              <w:t xml:space="preserve"> моніторингу, запобігання, виникненню аварій, надзвичайних</w:t>
            </w:r>
            <w:r w:rsidR="00D81F5E" w:rsidRPr="002A0D46">
              <w:rPr>
                <w:lang w:val="uk-UA"/>
              </w:rPr>
              <w:t xml:space="preserve"> ситуацій нещасними</w:t>
            </w:r>
            <w:r w:rsidR="005345A1" w:rsidRPr="002A0D46">
              <w:rPr>
                <w:lang w:val="uk-UA"/>
              </w:rPr>
              <w:t xml:space="preserve"> </w:t>
            </w:r>
            <w:r w:rsidR="00D81F5E" w:rsidRPr="002A0D46">
              <w:rPr>
                <w:lang w:val="uk-UA"/>
              </w:rPr>
              <w:t>випадками (на виробництві)</w:t>
            </w:r>
            <w:r w:rsidR="005345A1" w:rsidRPr="002A0D46">
              <w:rPr>
                <w:lang w:val="uk-UA"/>
              </w:rPr>
              <w:t xml:space="preserve"> </w:t>
            </w:r>
            <w:r w:rsidR="00D81F5E" w:rsidRPr="002A0D46">
              <w:rPr>
                <w:lang w:val="uk-UA"/>
              </w:rPr>
              <w:t xml:space="preserve">і професійним захворювання, </w:t>
            </w:r>
            <w:r w:rsidR="005345A1" w:rsidRPr="002A0D46">
              <w:rPr>
                <w:lang w:val="uk-UA"/>
              </w:rPr>
              <w:t xml:space="preserve">оцінювання їх можливих наслідків та їх ліквідування </w:t>
            </w:r>
          </w:p>
        </w:tc>
      </w:tr>
      <w:tr w:rsidR="0012337B" w:rsidRPr="002A0D46" w:rsidTr="00C47B99">
        <w:trPr>
          <w:trHeight w:val="333"/>
        </w:trPr>
        <w:tc>
          <w:tcPr>
            <w:tcW w:w="1537" w:type="pct"/>
          </w:tcPr>
          <w:p w:rsidR="0012337B" w:rsidRPr="002A0D46" w:rsidRDefault="00AC5FCD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 xml:space="preserve">Загальні компетентності (ЗК), </w:t>
            </w:r>
            <w:r w:rsidRPr="002A0D46">
              <w:rPr>
                <w:lang w:val="uk-UA" w:eastAsia="uk-UA"/>
              </w:rPr>
              <w:t>визначені стандартом вищої освіти спеціальності</w:t>
            </w:r>
          </w:p>
        </w:tc>
        <w:tc>
          <w:tcPr>
            <w:tcW w:w="3463" w:type="pct"/>
          </w:tcPr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З</w:t>
            </w:r>
            <w:r w:rsidR="00313A38" w:rsidRPr="002A0D46">
              <w:rPr>
                <w:lang w:val="uk-UA"/>
              </w:rPr>
              <w:t>К</w:t>
            </w:r>
            <w:r w:rsidRPr="002A0D46">
              <w:rPr>
                <w:lang w:val="uk-UA"/>
              </w:rPr>
              <w:t xml:space="preserve"> </w:t>
            </w:r>
            <w:r w:rsidR="00313A38" w:rsidRPr="002A0D46">
              <w:rPr>
                <w:lang w:val="uk-UA"/>
              </w:rPr>
              <w:t xml:space="preserve">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З</w:t>
            </w:r>
            <w:r w:rsidR="00313A38" w:rsidRPr="002A0D46">
              <w:rPr>
                <w:lang w:val="uk-UA"/>
              </w:rPr>
              <w:t>К</w:t>
            </w:r>
            <w:r w:rsidRPr="002A0D46">
              <w:rPr>
                <w:lang w:val="uk-UA"/>
              </w:rPr>
              <w:t xml:space="preserve"> </w:t>
            </w:r>
            <w:r w:rsidR="00313A38" w:rsidRPr="002A0D46">
              <w:rPr>
                <w:lang w:val="uk-UA"/>
              </w:rPr>
              <w:t xml:space="preserve">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lastRenderedPageBreak/>
              <w:t xml:space="preserve">ЗК </w:t>
            </w:r>
            <w:r w:rsidR="00313A38" w:rsidRPr="002A0D46">
              <w:rPr>
                <w:lang w:val="uk-UA"/>
              </w:rPr>
              <w:t xml:space="preserve">03. Здатність до абстрактного мислення, аналізу та синтезу.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04. Здатність спілкуватися державною мовою як усно, так і письмово.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05. Здатність спілкуватися іноземною мовою.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06. Здатність до пошуку, оброблення та аналізу інформації з різних джерел.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07. Навички міжособистісної взаємодії. </w:t>
            </w:r>
          </w:p>
          <w:p w:rsidR="00D81F5E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08. Здатність працювати як в команді, так і автономно.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 xml:space="preserve">09. Навики здійснення безпечної діяльності. </w:t>
            </w:r>
          </w:p>
          <w:p w:rsidR="0012337B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ЗК </w:t>
            </w:r>
            <w:r w:rsidR="00313A38" w:rsidRPr="002A0D46">
              <w:rPr>
                <w:lang w:val="uk-UA"/>
              </w:rPr>
              <w:t>10. Прагнення до збереження навколишнього середовища</w:t>
            </w:r>
          </w:p>
        </w:tc>
      </w:tr>
      <w:tr w:rsidR="00AC5FCD" w:rsidRPr="002A0D46" w:rsidTr="00C47B99">
        <w:trPr>
          <w:trHeight w:val="333"/>
        </w:trPr>
        <w:tc>
          <w:tcPr>
            <w:tcW w:w="1537" w:type="pct"/>
          </w:tcPr>
          <w:p w:rsidR="00AC5FCD" w:rsidRPr="002A0D46" w:rsidRDefault="00AC5FCD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lastRenderedPageBreak/>
              <w:t xml:space="preserve">Фахові </w:t>
            </w:r>
          </w:p>
          <w:p w:rsidR="00AC5FCD" w:rsidRPr="002A0D46" w:rsidRDefault="00AC5FCD" w:rsidP="00C47B99">
            <w:pPr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 xml:space="preserve">компетентності спеціальності (ФК), </w:t>
            </w:r>
            <w:r w:rsidRPr="002A0D46">
              <w:rPr>
                <w:lang w:val="uk-UA" w:eastAsia="uk-UA"/>
              </w:rPr>
              <w:t>визначені стандартом вищої освіти спеціальності</w:t>
            </w:r>
          </w:p>
        </w:tc>
        <w:tc>
          <w:tcPr>
            <w:tcW w:w="3463" w:type="pct"/>
          </w:tcPr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</w:t>
            </w:r>
            <w:r w:rsidR="00313A38" w:rsidRPr="002A0D46">
              <w:rPr>
                <w:lang w:val="uk-UA"/>
              </w:rPr>
              <w:t>К</w:t>
            </w:r>
            <w:r w:rsidRPr="002A0D46">
              <w:rPr>
                <w:lang w:val="uk-UA"/>
              </w:rPr>
              <w:t xml:space="preserve"> </w:t>
            </w:r>
            <w:r w:rsidR="00313A38" w:rsidRPr="002A0D46">
              <w:rPr>
                <w:lang w:val="uk-UA"/>
              </w:rPr>
              <w:t xml:space="preserve">1. Усвідомлення функцій держави, форм реалізації цих функцій, правових основ цивільного захисту, охорони праці; дотримання основних принципів здійснення цивільного захисту та державної політики з питань охорони праці.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2. Здатність оперувати термінами та визначеннями понять у сфері цивільного захисту, охорони праці; основними положеннями, вимог та правил стосовно проведення моніторингу, організовування та впровадження заходів щодо запобігання, ліквідування надзвичайних ситуацій.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3. Здатність до застосовування тенденцій розвитку техніки і технології захисту людини, матеріальних цінностей і довкілля від небезпек техногенного і природного характеру та обґрунтованого вибору засобів та систем захисту людини і довкілля від небезпек.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4. Здатність оперувати фізичними та хімічними термінами, розуміти сутність математичних, фізичних та хімічних понять та законів, які необхідні для здійснення професійної діяльності.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5. Здатність організовувати нагляд (контроль) за додержанням вимог законодавства у сфері цивільного захисту, техногенної, промислової безпеки та охорони праці.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6. Здатність до оцінювання ризиків виникнення та впливу надзвичайних ситуацій на об’єктах суб’єкта господарювання та ризиків у сфері безпеки праці.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7. Здатність обґрунтовано обирати та застосовувати методи визначення та контролю фактичних рівнів негативного впливу </w:t>
            </w:r>
            <w:proofErr w:type="spellStart"/>
            <w:r w:rsidR="00313A38" w:rsidRPr="002A0D46">
              <w:rPr>
                <w:lang w:val="uk-UA"/>
              </w:rPr>
              <w:t>уражальних</w:t>
            </w:r>
            <w:proofErr w:type="spellEnd"/>
            <w:r w:rsidR="00313A38" w:rsidRPr="002A0D46">
              <w:rPr>
                <w:lang w:val="uk-UA"/>
              </w:rPr>
              <w:t xml:space="preserve"> чинників джерел надзвичайних ситуацій на людину і довкілля.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8. Здатність до аналізу й оцінювання потенційної небезпеки об’єктів, технологічних процесів та виробничого </w:t>
            </w:r>
            <w:proofErr w:type="spellStart"/>
            <w:r w:rsidR="00313A38" w:rsidRPr="002A0D46">
              <w:rPr>
                <w:lang w:val="uk-UA"/>
              </w:rPr>
              <w:t>устатковання</w:t>
            </w:r>
            <w:proofErr w:type="spellEnd"/>
            <w:r w:rsidR="00313A38" w:rsidRPr="002A0D46">
              <w:rPr>
                <w:lang w:val="uk-UA"/>
              </w:rPr>
              <w:t xml:space="preserve"> для людини й навколишнього середовища.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 xml:space="preserve">ФК </w:t>
            </w:r>
            <w:r w:rsidR="00313A38" w:rsidRPr="002A0D46">
              <w:rPr>
                <w:lang w:val="uk-UA"/>
              </w:rPr>
              <w:t xml:space="preserve">9. Здатність до розуміння механізму процесів горіння і вибуху, обставин, дій та процесів, що спричиняють виникнення надзвичайної ситуації.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0. Здатність обґрунтовувати та розробляти заходи, спрямовані на запобігання виникненню надзвичайних ситуацій, захист населення і територій від надзвичайних ситуацій, забезпечення безпечної праці та запобігання виникненню нещасних випадків і професійних захворювань.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1. Здатність прогнозувати і оцінювати обстановку в зоні надзвичайної ситуації (аварії) та тактичні можливості підрозділів, що залучаються до ліквідування надзвичайної ситуації (аварії).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2. Здатність до проведення аварійно-рятувальних та інших невідкладних робіт, робіт з ліквідації наслідків надзвичайних </w:t>
            </w:r>
            <w:r w:rsidR="00313A38" w:rsidRPr="002A0D46">
              <w:rPr>
                <w:lang w:val="uk-UA"/>
              </w:rPr>
              <w:lastRenderedPageBreak/>
              <w:t xml:space="preserve">ситуацій у разі їх виникнення.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3. Здатність організовувати радіаційний, хімічний та біологічний захист населення, інженерне забезпечення процесу виконання аварійно-рятувальних робіт.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4. Здатність до використання основних методів та засобів управління, зв'язку та </w:t>
            </w:r>
            <w:proofErr w:type="spellStart"/>
            <w:r w:rsidR="00313A38" w:rsidRPr="002A0D46">
              <w:rPr>
                <w:lang w:val="uk-UA"/>
              </w:rPr>
              <w:t>оповіщування</w:t>
            </w:r>
            <w:proofErr w:type="spellEnd"/>
            <w:r w:rsidR="00313A38" w:rsidRPr="002A0D46">
              <w:rPr>
                <w:lang w:val="uk-UA"/>
              </w:rPr>
              <w:t xml:space="preserve"> під час загрози або виникнення надзвичайних ситуацій. </w:t>
            </w:r>
          </w:p>
          <w:p w:rsidR="00313A38" w:rsidRPr="002A0D46" w:rsidRDefault="001C1872" w:rsidP="00D81F5E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5. Готовність до застосовування та експлуатації технічних систем захисту, засобів індивідуального та колективного захисту людини від негативного впливу небезпечних чинників надзвичайної ситуації, дії небезпечних і шкідливих виробничих чинників. </w:t>
            </w:r>
          </w:p>
          <w:p w:rsidR="009554D2" w:rsidRPr="002A0D46" w:rsidRDefault="001C187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6. Здатність до організації безпечної експлуатації техніки, </w:t>
            </w:r>
            <w:proofErr w:type="spellStart"/>
            <w:r w:rsidR="00313A38" w:rsidRPr="002A0D46">
              <w:rPr>
                <w:lang w:val="uk-UA"/>
              </w:rPr>
              <w:t>устатковання</w:t>
            </w:r>
            <w:proofErr w:type="spellEnd"/>
            <w:r w:rsidR="00313A38" w:rsidRPr="002A0D46">
              <w:rPr>
                <w:lang w:val="uk-UA"/>
              </w:rPr>
              <w:t xml:space="preserve">, спорядження у сфері професійної діяльності, створення безпечних і здорових умов праці. </w:t>
            </w:r>
          </w:p>
          <w:p w:rsidR="00313A38" w:rsidRPr="002A0D46" w:rsidRDefault="001C187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7. Здатність організовувати та проводити навчання працівників підприємств, установ та організацій і населення до дій в умовах надзвичайних ситуацій. </w:t>
            </w:r>
          </w:p>
          <w:p w:rsidR="00313A38" w:rsidRPr="002A0D46" w:rsidRDefault="001C187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 xml:space="preserve">8. Здатність надавати </w:t>
            </w:r>
            <w:proofErr w:type="spellStart"/>
            <w:r w:rsidR="00313A38" w:rsidRPr="002A0D46">
              <w:rPr>
                <w:lang w:val="uk-UA"/>
              </w:rPr>
              <w:t>домедичну</w:t>
            </w:r>
            <w:proofErr w:type="spellEnd"/>
            <w:r w:rsidR="00313A38" w:rsidRPr="002A0D46">
              <w:rPr>
                <w:lang w:val="uk-UA"/>
              </w:rPr>
              <w:t xml:space="preserve"> допомогу постраждалим особам. </w:t>
            </w:r>
          </w:p>
          <w:p w:rsidR="00AC5FCD" w:rsidRPr="002A0D46" w:rsidRDefault="001C187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ФК 1</w:t>
            </w:r>
            <w:r w:rsidR="00313A38" w:rsidRPr="002A0D46">
              <w:rPr>
                <w:lang w:val="uk-UA"/>
              </w:rPr>
              <w:t>9. Здатність до читання та виконання ескізів та креслень, застосування комп’ютерної графіки в сфері професійної діяльності.</w:t>
            </w:r>
          </w:p>
        </w:tc>
      </w:tr>
      <w:tr w:rsidR="006F0D9A" w:rsidRPr="002A0D46" w:rsidTr="006F0D9A">
        <w:trPr>
          <w:trHeight w:val="333"/>
        </w:trPr>
        <w:tc>
          <w:tcPr>
            <w:tcW w:w="5000" w:type="pct"/>
            <w:gridSpan w:val="2"/>
          </w:tcPr>
          <w:p w:rsidR="006F0D9A" w:rsidRPr="002A0D46" w:rsidRDefault="006F0D9A" w:rsidP="006F0D9A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AC5FCD" w:rsidRPr="00655484" w:rsidTr="00C47B99">
        <w:trPr>
          <w:trHeight w:val="333"/>
        </w:trPr>
        <w:tc>
          <w:tcPr>
            <w:tcW w:w="1537" w:type="pct"/>
          </w:tcPr>
          <w:p w:rsidR="006F0D9A" w:rsidRPr="002A0D46" w:rsidRDefault="006F0D9A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 xml:space="preserve">Програмні </w:t>
            </w:r>
          </w:p>
          <w:p w:rsidR="00AC5FCD" w:rsidRPr="002A0D46" w:rsidRDefault="006F0D9A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 xml:space="preserve">результати навчання, </w:t>
            </w:r>
            <w:r w:rsidRPr="002A0D46">
              <w:rPr>
                <w:lang w:val="uk-UA" w:eastAsia="uk-UA"/>
              </w:rPr>
              <w:t>визначені стандартом вищої освіти</w:t>
            </w:r>
          </w:p>
        </w:tc>
        <w:tc>
          <w:tcPr>
            <w:tcW w:w="3463" w:type="pct"/>
          </w:tcPr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01. Аналізувати питання історії, факти, проблеми та тенденції розвитку культури України в їх діалектичному взаємозв’язку.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02. Володіти культурою мислення, технологією освоєння соціального досвіду на рівні, необхідному для професійної діяльності.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03. Аналізувати суспільні явища й процеси на рівні, необхідному для професійної діяльності, знати нормативно-правові засади забезпечення цивільного захисту, охорони праці, питання нормативного регулювання забезпечення заходів у сфері цивільного захисту та техногенної безпеки об'єктів і територій.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04. Застосовувати отримані знання правових основ цивільного захисту, охорони праці у практичній діяльності. </w:t>
            </w:r>
          </w:p>
          <w:p w:rsidR="009554D2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05. Розробляти тексти та документи з питань професійної діяльності, спілкуватися українською професійною мовою; читати й розуміти фахову іншомовну літературу, використовуючи її у соціальній і професійній сферах; демонструвати культуру мислення та виявляти навички щодо організації культурного діалогу на рівні, необхідному для професійної діяльності.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06. Пояснювати процеси впливу шкідливих і небезпечних чинників, що виникають у разі небезпечної події; застосовувати теорії захисту населення, території та навколишнього природного середовища від </w:t>
            </w:r>
            <w:proofErr w:type="spellStart"/>
            <w:r w:rsidR="00D938AE" w:rsidRPr="002A0D46">
              <w:rPr>
                <w:lang w:val="uk-UA"/>
              </w:rPr>
              <w:t>уражальних</w:t>
            </w:r>
            <w:proofErr w:type="spellEnd"/>
            <w:r w:rsidR="00D938AE" w:rsidRPr="002A0D46">
              <w:rPr>
                <w:lang w:val="uk-UA"/>
              </w:rPr>
              <w:t xml:space="preserve"> чинників джерел надзвичайних ситуацій, необхідні для здійснення професійної діяльності знання математичних та природничих наук.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07. Обирати оптимальні заходи і засоби, спрямовані на зменшення професійного ризику, захист населення, запобігання надзвичайним ситуаціям. </w:t>
            </w:r>
          </w:p>
          <w:p w:rsidR="002212B1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lastRenderedPageBreak/>
              <w:t>П</w:t>
            </w:r>
            <w:r w:rsidR="00D938AE" w:rsidRPr="002A0D46">
              <w:rPr>
                <w:lang w:val="uk-UA"/>
              </w:rPr>
              <w:t xml:space="preserve">РН 08. Передбачати екологічно-збалансовану діяльність, необхідний рівень індивідуальної безпеки та психічного здоров'я у разі виникнення типових небезпечних подій. </w:t>
            </w:r>
          </w:p>
          <w:p w:rsidR="00D938AE" w:rsidRPr="002A0D46" w:rsidRDefault="002212B1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09. Використовувати у професійній діяльності сучасні інформаційні технології, системи управління базами даних та стандартні пакети прикладних програм.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10. Розробляти та використовувати технічну документацію, зокрема з використанням сучасних інформаційних технологій.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11. Визначати фізичні, хімічні, біологічні та </w:t>
            </w:r>
            <w:proofErr w:type="spellStart"/>
            <w:r w:rsidR="00D938AE" w:rsidRPr="002A0D46">
              <w:rPr>
                <w:lang w:val="uk-UA"/>
              </w:rPr>
              <w:t>психофізиологічні</w:t>
            </w:r>
            <w:proofErr w:type="spellEnd"/>
            <w:r w:rsidR="00D938AE" w:rsidRPr="002A0D46">
              <w:rPr>
                <w:lang w:val="uk-UA"/>
              </w:rPr>
              <w:t xml:space="preserve"> шкідливі виробничі чинники та аналізувати безпечність виробничого </w:t>
            </w:r>
            <w:proofErr w:type="spellStart"/>
            <w:r w:rsidR="00D938AE" w:rsidRPr="002A0D46">
              <w:rPr>
                <w:lang w:val="uk-UA"/>
              </w:rPr>
              <w:t>устатковання</w:t>
            </w:r>
            <w:proofErr w:type="spellEnd"/>
            <w:r w:rsidR="00D938AE" w:rsidRPr="002A0D46">
              <w:rPr>
                <w:lang w:val="uk-UA"/>
              </w:rPr>
              <w:t xml:space="preserve">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12. Визначати технічний стан зовнішніх та внутрішніх інженерних мереж та споруд для оцінювання відповідності його вимогам цивільного захисту та техногенної безпеки.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13. Класифікувати речовини, матеріали, продукцію, процеси, послуги та суб'єкти господарювання за ступенем їх небезпечності.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14. Ідентифікувати небезпеки та можливі їх джерела, оцінювати ймовірність виникнення небезпечних подій та їх наслідки.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15. Пояснювати номенклатуру, класифікацію та параметри </w:t>
            </w:r>
            <w:proofErr w:type="spellStart"/>
            <w:r w:rsidR="00D938AE" w:rsidRPr="002A0D46">
              <w:rPr>
                <w:lang w:val="uk-UA"/>
              </w:rPr>
              <w:t>уражальних</w:t>
            </w:r>
            <w:proofErr w:type="spellEnd"/>
            <w:r w:rsidR="00D938AE" w:rsidRPr="002A0D46">
              <w:rPr>
                <w:lang w:val="uk-UA"/>
              </w:rPr>
              <w:t xml:space="preserve"> чинників джерел техногенних і природних надзвичайних ситуацій та результати їх впливів.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16. Обирати оптимальні способи та застосовувати засоби захисту від впливу  негативних чинників хімічного, біологічного і радіаційного походження.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17. Оцінювати технічні показники та визначати стан аварійно-рятувальної техніки, засобів зв'язку, устаткування та обладнання.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18. Пояснювати концептуальні основи моніторингу об’єктів захисту та знати автоматичні системи, прилади та пристрої, призначені для спостереження та контролювання стану об’єкта моніторингу, вимірювання його параметрів та збереження інформації щодо його стану.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19. Знати типи автоматизованих систем раннього виявлення надзвичайних ситуацій та оповіщення, загальні технічні характеристики та вимоги до застосування систем управління, зв'язку та </w:t>
            </w:r>
            <w:proofErr w:type="spellStart"/>
            <w:r w:rsidR="00D938AE" w:rsidRPr="002A0D46">
              <w:rPr>
                <w:lang w:val="uk-UA"/>
              </w:rPr>
              <w:t>оповіщування</w:t>
            </w:r>
            <w:proofErr w:type="spellEnd"/>
            <w:r w:rsidR="00D938AE" w:rsidRPr="002A0D46">
              <w:rPr>
                <w:lang w:val="uk-UA"/>
              </w:rPr>
              <w:t xml:space="preserve"> у надзвичайних ситуаціях.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20. Демонструвати вміння щодо проведення заходів з ліквідування надзвичайних ситуацій та їх наслідків, аварійно-рятувальних та інших невідкладних робіт.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21. Аналізувати і обґрунтовувати інженерно-технічні та організаційні заходи щодо цивільного захисту, техногенної та промислової безпеки на об'єктах та територіях.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22. Пояснювати вимоги щодо убезпечення та захисту суб'єктів господарювання, положення та вимоги щодо безпечності, ідентифікації, паспортизації та ведення реєстрів об'єктів підвищеної небезпеки та потенційно небезпечних об'єктів.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23. Застосовувати заходи цивільного захисту: з інформування та </w:t>
            </w:r>
            <w:proofErr w:type="spellStart"/>
            <w:r w:rsidR="00D938AE" w:rsidRPr="002A0D46">
              <w:rPr>
                <w:lang w:val="uk-UA"/>
              </w:rPr>
              <w:t>оповіщування</w:t>
            </w:r>
            <w:proofErr w:type="spellEnd"/>
            <w:r w:rsidR="00D938AE" w:rsidRPr="002A0D46">
              <w:rPr>
                <w:lang w:val="uk-UA"/>
              </w:rPr>
              <w:t xml:space="preserve"> населення; стосовно укриття населення у захисних спорудах цивільного захисту; щодо </w:t>
            </w:r>
            <w:proofErr w:type="spellStart"/>
            <w:r w:rsidR="00D938AE" w:rsidRPr="002A0D46">
              <w:rPr>
                <w:lang w:val="uk-UA"/>
              </w:rPr>
              <w:t>евакуювання</w:t>
            </w:r>
            <w:proofErr w:type="spellEnd"/>
            <w:r w:rsidR="00D938AE" w:rsidRPr="002A0D46">
              <w:rPr>
                <w:lang w:val="uk-UA"/>
              </w:rPr>
              <w:t xml:space="preserve"> населення із зони надзвичайної ситуації та </w:t>
            </w:r>
            <w:r w:rsidR="00D938AE" w:rsidRPr="002A0D46">
              <w:rPr>
                <w:lang w:val="uk-UA"/>
              </w:rPr>
              <w:lastRenderedPageBreak/>
              <w:t xml:space="preserve">життєзабезпечення евакуйованого населення в місцях їх безпечного розміщення.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24. Передбачати безпечну роботу </w:t>
            </w:r>
            <w:proofErr w:type="spellStart"/>
            <w:r w:rsidR="00D938AE" w:rsidRPr="002A0D46">
              <w:rPr>
                <w:lang w:val="uk-UA"/>
              </w:rPr>
              <w:t>газодимозахисної</w:t>
            </w:r>
            <w:proofErr w:type="spellEnd"/>
            <w:r w:rsidR="00D938AE" w:rsidRPr="002A0D46">
              <w:rPr>
                <w:lang w:val="uk-UA"/>
              </w:rPr>
              <w:t xml:space="preserve"> служби, експлуатацію комплектів засобів індивідуального захисту рятувальників. </w:t>
            </w:r>
          </w:p>
          <w:p w:rsidR="00D938AE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 xml:space="preserve">РН 25. Організовувати та проводити навчання населення діям у надзвичайних ситуаціях, заняття з особовим складом підрозділу; доносити до фахівців і нефахівців інформацію, ідеї, проблеми, рішення та власний досвід у сфері професійної діяльності. </w:t>
            </w:r>
          </w:p>
          <w:p w:rsidR="00AC5FCD" w:rsidRPr="002A0D46" w:rsidRDefault="009554D2" w:rsidP="009554D2">
            <w:pPr>
              <w:rPr>
                <w:lang w:val="uk-UA"/>
              </w:rPr>
            </w:pPr>
            <w:r w:rsidRPr="002A0D46">
              <w:rPr>
                <w:lang w:val="uk-UA"/>
              </w:rPr>
              <w:t>П</w:t>
            </w:r>
            <w:r w:rsidR="00D938AE" w:rsidRPr="002A0D46">
              <w:rPr>
                <w:lang w:val="uk-UA"/>
              </w:rPr>
              <w:t>РН 26. Знати властивості горючих речовин і матеріалів, механізм виникнення процесів горіння і вибуху.</w:t>
            </w:r>
          </w:p>
        </w:tc>
      </w:tr>
      <w:tr w:rsidR="006F0D9A" w:rsidRPr="002A0D46" w:rsidTr="006F0D9A">
        <w:trPr>
          <w:trHeight w:val="333"/>
        </w:trPr>
        <w:tc>
          <w:tcPr>
            <w:tcW w:w="5000" w:type="pct"/>
            <w:gridSpan w:val="2"/>
          </w:tcPr>
          <w:p w:rsidR="006F0D9A" w:rsidRPr="002A0D46" w:rsidRDefault="006F0D9A" w:rsidP="006F0D9A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AC5FCD" w:rsidRPr="00655484" w:rsidTr="00C47B99">
        <w:trPr>
          <w:trHeight w:val="333"/>
        </w:trPr>
        <w:tc>
          <w:tcPr>
            <w:tcW w:w="1537" w:type="pct"/>
          </w:tcPr>
          <w:p w:rsidR="00AC5FCD" w:rsidRPr="002A0D46" w:rsidRDefault="006F0D9A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Кадрове забезпечення</w:t>
            </w:r>
          </w:p>
        </w:tc>
        <w:tc>
          <w:tcPr>
            <w:tcW w:w="3463" w:type="pct"/>
          </w:tcPr>
          <w:p w:rsidR="00AC5FCD" w:rsidRPr="002A0D46" w:rsidRDefault="009D287B" w:rsidP="008F5F3C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 xml:space="preserve">Усі науково-педагогічні працівники мають кваліфікацію відповідно до освітніх компонентів, досвід практичної та науково-педагогічної діяльності, регулярно підвищують свою кваліфікацію, беруть участь у міжнародних наукових конференціях. </w:t>
            </w:r>
            <w:r w:rsidR="008F5F3C">
              <w:rPr>
                <w:lang w:val="uk-UA"/>
              </w:rPr>
              <w:t>Викладачі кафедри</w:t>
            </w:r>
            <w:r w:rsidRPr="002A0D46">
              <w:rPr>
                <w:lang w:val="uk-UA"/>
              </w:rPr>
              <w:t xml:space="preserve"> мають сертифікат</w:t>
            </w:r>
            <w:r w:rsidR="008F5F3C">
              <w:rPr>
                <w:lang w:val="uk-UA"/>
              </w:rPr>
              <w:t>и</w:t>
            </w:r>
            <w:r w:rsidRPr="002A0D46">
              <w:rPr>
                <w:lang w:val="uk-UA"/>
              </w:rPr>
              <w:t xml:space="preserve"> </w:t>
            </w:r>
            <w:proofErr w:type="spellStart"/>
            <w:r w:rsidRPr="002A0D46">
              <w:rPr>
                <w:lang w:val="uk-UA"/>
              </w:rPr>
              <w:t>Cambridge</w:t>
            </w:r>
            <w:proofErr w:type="spellEnd"/>
            <w:r w:rsidRPr="002A0D46">
              <w:rPr>
                <w:lang w:val="uk-UA"/>
              </w:rPr>
              <w:t xml:space="preserve"> ESOL щодо володіння англійською мовою на рівні В2</w:t>
            </w:r>
            <w:r w:rsidR="008F5F3C">
              <w:rPr>
                <w:lang w:val="uk-UA"/>
              </w:rPr>
              <w:t xml:space="preserve"> – С1</w:t>
            </w:r>
            <w:r w:rsidRPr="002A0D46">
              <w:rPr>
                <w:lang w:val="uk-UA"/>
              </w:rPr>
              <w:t>.</w:t>
            </w:r>
          </w:p>
        </w:tc>
      </w:tr>
      <w:tr w:rsidR="006F0D9A" w:rsidRPr="002A0D46" w:rsidTr="00C47B99">
        <w:trPr>
          <w:trHeight w:val="333"/>
        </w:trPr>
        <w:tc>
          <w:tcPr>
            <w:tcW w:w="1537" w:type="pct"/>
          </w:tcPr>
          <w:p w:rsidR="006F0D9A" w:rsidRPr="002A0D46" w:rsidRDefault="006F0D9A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463" w:type="pct"/>
          </w:tcPr>
          <w:p w:rsidR="006F0D9A" w:rsidRPr="002A0D46" w:rsidRDefault="00622D8C" w:rsidP="009554D2">
            <w:pPr>
              <w:jc w:val="both"/>
              <w:rPr>
                <w:lang w:val="uk-UA"/>
              </w:rPr>
            </w:pPr>
            <w:r w:rsidRPr="002A0D46">
              <w:rPr>
                <w:bCs/>
                <w:color w:val="000000"/>
                <w:szCs w:val="28"/>
                <w:lang w:val="uk-UA"/>
              </w:rPr>
              <w:t>Навчальний процес за спеціальністю у повному обсязі забезпечений аудиторним фондом, адміністративними і допоміжними приміщеннями. Аудиторний фонд включає у себе спеціалізовану комп’ютерн</w:t>
            </w:r>
            <w:r w:rsidR="00BE62B5" w:rsidRPr="002A0D46">
              <w:rPr>
                <w:bCs/>
                <w:color w:val="000000"/>
                <w:szCs w:val="28"/>
                <w:lang w:val="uk-UA"/>
              </w:rPr>
              <w:t>у</w:t>
            </w:r>
            <w:r w:rsidRPr="002A0D46">
              <w:rPr>
                <w:bCs/>
                <w:color w:val="000000"/>
                <w:szCs w:val="28"/>
                <w:lang w:val="uk-UA"/>
              </w:rPr>
              <w:t xml:space="preserve"> лабораторі</w:t>
            </w:r>
            <w:r w:rsidR="00BE62B5" w:rsidRPr="002A0D46">
              <w:rPr>
                <w:bCs/>
                <w:color w:val="000000"/>
                <w:szCs w:val="28"/>
                <w:lang w:val="uk-UA"/>
              </w:rPr>
              <w:t>ю</w:t>
            </w:r>
            <w:r w:rsidRPr="002A0D46">
              <w:rPr>
                <w:bCs/>
                <w:color w:val="000000"/>
                <w:szCs w:val="28"/>
                <w:lang w:val="uk-UA"/>
              </w:rPr>
              <w:t xml:space="preserve"> </w:t>
            </w:r>
            <w:r w:rsidR="00BE62B5" w:rsidRPr="002A0D46">
              <w:rPr>
                <w:bCs/>
                <w:color w:val="000000"/>
                <w:szCs w:val="28"/>
                <w:lang w:val="uk-UA"/>
              </w:rPr>
              <w:t>та дві спеціалізовані лабораторії, в яких розташовано мультимедійне та спеціалізоване обладнання</w:t>
            </w:r>
            <w:r w:rsidR="00D470C4" w:rsidRPr="002A0D46">
              <w:rPr>
                <w:bCs/>
                <w:color w:val="000000"/>
                <w:szCs w:val="28"/>
                <w:lang w:val="uk-UA"/>
              </w:rPr>
              <w:t>.</w:t>
            </w:r>
          </w:p>
        </w:tc>
      </w:tr>
      <w:tr w:rsidR="006F0D9A" w:rsidRPr="002A0D46" w:rsidTr="00C47B99">
        <w:trPr>
          <w:trHeight w:val="333"/>
        </w:trPr>
        <w:tc>
          <w:tcPr>
            <w:tcW w:w="1537" w:type="pct"/>
          </w:tcPr>
          <w:p w:rsidR="006F0D9A" w:rsidRPr="002A0D46" w:rsidRDefault="006F0D9A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3463" w:type="pct"/>
          </w:tcPr>
          <w:p w:rsidR="00BE62B5" w:rsidRPr="002A0D46" w:rsidRDefault="00BE62B5" w:rsidP="00BA27C7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 xml:space="preserve">Усі освітні компоненти освітньої програми забезпечені </w:t>
            </w:r>
            <w:r w:rsidR="009D287B" w:rsidRPr="002A0D46">
              <w:rPr>
                <w:lang w:val="uk-UA"/>
              </w:rPr>
              <w:t>відповідними</w:t>
            </w:r>
            <w:r w:rsidRPr="002A0D46">
              <w:rPr>
                <w:lang w:val="uk-UA"/>
              </w:rPr>
              <w:t xml:space="preserve"> навчально-методичними матеріалами:</w:t>
            </w:r>
            <w:r w:rsidR="009D287B" w:rsidRPr="002A0D46">
              <w:rPr>
                <w:lang w:val="uk-UA"/>
              </w:rPr>
              <w:t xml:space="preserve"> </w:t>
            </w:r>
            <w:r w:rsidRPr="002A0D46">
              <w:rPr>
                <w:lang w:val="uk-UA"/>
              </w:rPr>
              <w:t xml:space="preserve">підручники; навчальні посібники; конспекти лекцій; методичні вказівки та рекомендації; індивідуальні завдання; збірники ситуаційних завдань (кейсів); приклади розв’язування типових задач чи виконання типових завдань; </w:t>
            </w:r>
            <w:r w:rsidR="009D287B" w:rsidRPr="002A0D46">
              <w:rPr>
                <w:lang w:val="uk-UA"/>
              </w:rPr>
              <w:t xml:space="preserve">мультимедійні </w:t>
            </w:r>
            <w:r w:rsidRPr="002A0D46">
              <w:rPr>
                <w:lang w:val="uk-UA"/>
              </w:rPr>
              <w:t>презентації; ілюстративні матеріали; каталоги ресурсів тощо.</w:t>
            </w:r>
          </w:p>
          <w:p w:rsidR="006F0D9A" w:rsidRPr="002A0D46" w:rsidRDefault="00BE62B5" w:rsidP="00BA27C7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 xml:space="preserve">Усі навчально-методичні матеріали доступні для студентів у читальних залах наукової бібліотеки </w:t>
            </w:r>
            <w:hyperlink r:id="rId8" w:history="1">
              <w:r w:rsidRPr="002A0D46">
                <w:rPr>
                  <w:rStyle w:val="a4"/>
                  <w:lang w:val="uk-UA"/>
                </w:rPr>
                <w:t>http://library.kname.edu.ua/index.php/uk/</w:t>
              </w:r>
            </w:hyperlink>
            <w:r w:rsidRPr="002A0D46">
              <w:rPr>
                <w:lang w:val="uk-UA"/>
              </w:rPr>
              <w:t xml:space="preserve">, в тому числі у залі інформаційного сервісу, обладнаному комп’ютерами з доступом до мережі Інтернет та локальної мережі Університету, у цифровому </w:t>
            </w:r>
            <w:proofErr w:type="spellStart"/>
            <w:r w:rsidRPr="002A0D46">
              <w:rPr>
                <w:lang w:val="uk-UA"/>
              </w:rPr>
              <w:t>репозиторію</w:t>
            </w:r>
            <w:proofErr w:type="spellEnd"/>
            <w:r w:rsidRPr="002A0D46">
              <w:rPr>
                <w:lang w:val="uk-UA"/>
              </w:rPr>
              <w:t xml:space="preserve"> </w:t>
            </w:r>
            <w:hyperlink r:id="rId9" w:history="1">
              <w:r w:rsidRPr="002A0D46">
                <w:rPr>
                  <w:rStyle w:val="a4"/>
                  <w:bCs/>
                  <w:lang w:val="uk-UA"/>
                </w:rPr>
                <w:t>http://eprints.kname.edu.ua</w:t>
              </w:r>
            </w:hyperlink>
            <w:r w:rsidRPr="002A0D46">
              <w:rPr>
                <w:bCs/>
                <w:lang w:val="uk-UA"/>
              </w:rPr>
              <w:t xml:space="preserve">, на порталі </w:t>
            </w:r>
            <w:hyperlink r:id="rId10" w:history="1">
              <w:r w:rsidRPr="002A0D46">
                <w:rPr>
                  <w:rStyle w:val="a4"/>
                  <w:lang w:val="uk-UA"/>
                </w:rPr>
                <w:t>Центру дистанційного навчання</w:t>
              </w:r>
            </w:hyperlink>
            <w:r w:rsidRPr="002A0D46">
              <w:rPr>
                <w:bCs/>
                <w:lang w:val="uk-UA"/>
              </w:rPr>
              <w:t xml:space="preserve"> </w:t>
            </w:r>
            <w:hyperlink r:id="rId11" w:history="1">
              <w:r w:rsidRPr="002A0D46">
                <w:rPr>
                  <w:rStyle w:val="a4"/>
                  <w:bCs/>
                  <w:lang w:val="uk-UA"/>
                </w:rPr>
                <w:t>http://cdo.kname.edu.ua/</w:t>
              </w:r>
            </w:hyperlink>
          </w:p>
        </w:tc>
      </w:tr>
      <w:tr w:rsidR="006F0D9A" w:rsidRPr="002A0D46" w:rsidTr="006F0D9A">
        <w:trPr>
          <w:trHeight w:val="333"/>
        </w:trPr>
        <w:tc>
          <w:tcPr>
            <w:tcW w:w="5000" w:type="pct"/>
            <w:gridSpan w:val="2"/>
          </w:tcPr>
          <w:p w:rsidR="006F0D9A" w:rsidRPr="002A0D46" w:rsidRDefault="006F0D9A" w:rsidP="006F0D9A">
            <w:pPr>
              <w:ind w:left="284"/>
              <w:jc w:val="center"/>
              <w:rPr>
                <w:b/>
                <w:lang w:val="uk-UA"/>
              </w:rPr>
            </w:pPr>
            <w:r w:rsidRPr="002A0D46">
              <w:rPr>
                <w:b/>
                <w:lang w:val="uk-UA"/>
              </w:rPr>
              <w:t>9 – Академічна мобільність</w:t>
            </w:r>
          </w:p>
        </w:tc>
      </w:tr>
      <w:tr w:rsidR="00BE62B5" w:rsidRPr="002A0D46" w:rsidTr="00C47B99">
        <w:trPr>
          <w:trHeight w:val="333"/>
        </w:trPr>
        <w:tc>
          <w:tcPr>
            <w:tcW w:w="1537" w:type="pct"/>
          </w:tcPr>
          <w:p w:rsidR="00BE62B5" w:rsidRPr="002A0D46" w:rsidRDefault="00BE62B5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 xml:space="preserve">Національна </w:t>
            </w:r>
          </w:p>
          <w:p w:rsidR="00BE62B5" w:rsidRPr="002A0D46" w:rsidRDefault="00BE62B5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кредитна мобільність</w:t>
            </w:r>
          </w:p>
        </w:tc>
        <w:tc>
          <w:tcPr>
            <w:tcW w:w="3463" w:type="pct"/>
          </w:tcPr>
          <w:p w:rsidR="00BE62B5" w:rsidRPr="002A0D46" w:rsidRDefault="00BE62B5" w:rsidP="00BA27C7">
            <w:pPr>
              <w:jc w:val="both"/>
              <w:rPr>
                <w:i/>
                <w:lang w:val="uk-UA"/>
              </w:rPr>
            </w:pPr>
            <w:r w:rsidRPr="002A0D46">
              <w:rPr>
                <w:lang w:val="uk-UA"/>
              </w:rPr>
              <w:t xml:space="preserve">Відповідно до Положення про академічну мобільність студентів, аспірантів, докторантів, науково-педагогічних та наукових працівників ХНУМГ ім. О.М. </w:t>
            </w:r>
            <w:proofErr w:type="spellStart"/>
            <w:r w:rsidRPr="002A0D46">
              <w:rPr>
                <w:lang w:val="uk-UA"/>
              </w:rPr>
              <w:t>Бекетова</w:t>
            </w:r>
            <w:proofErr w:type="spellEnd"/>
          </w:p>
        </w:tc>
      </w:tr>
      <w:tr w:rsidR="00BE62B5" w:rsidRPr="002A0D46" w:rsidTr="00C47B99">
        <w:trPr>
          <w:trHeight w:val="333"/>
        </w:trPr>
        <w:tc>
          <w:tcPr>
            <w:tcW w:w="1537" w:type="pct"/>
          </w:tcPr>
          <w:p w:rsidR="00BE62B5" w:rsidRPr="002A0D46" w:rsidRDefault="00BE62B5" w:rsidP="006F0D9A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Міжнародна</w:t>
            </w:r>
          </w:p>
          <w:p w:rsidR="00BE62B5" w:rsidRPr="002A0D46" w:rsidRDefault="00BE62B5" w:rsidP="006F0D9A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t>кредитна мобільність</w:t>
            </w:r>
          </w:p>
        </w:tc>
        <w:tc>
          <w:tcPr>
            <w:tcW w:w="3463" w:type="pct"/>
          </w:tcPr>
          <w:p w:rsidR="00BA27C7" w:rsidRPr="002A0D46" w:rsidRDefault="00BA27C7" w:rsidP="00BA27C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A0D46">
              <w:rPr>
                <w:lang w:val="uk-UA"/>
              </w:rPr>
              <w:t xml:space="preserve">ХНУМГ імені О.М. </w:t>
            </w:r>
            <w:proofErr w:type="spellStart"/>
            <w:r w:rsidRPr="002A0D46">
              <w:rPr>
                <w:lang w:val="uk-UA"/>
              </w:rPr>
              <w:t>Бекетова</w:t>
            </w:r>
            <w:proofErr w:type="spellEnd"/>
            <w:r w:rsidRPr="002A0D46">
              <w:rPr>
                <w:lang w:val="uk-UA"/>
              </w:rPr>
              <w:t xml:space="preserve"> має </w:t>
            </w:r>
            <w:r w:rsidR="002212B1" w:rsidRPr="002A0D46">
              <w:rPr>
                <w:lang w:val="uk-UA"/>
              </w:rPr>
              <w:t>6</w:t>
            </w:r>
            <w:r w:rsidRPr="002A0D46">
              <w:rPr>
                <w:lang w:val="uk-UA"/>
              </w:rPr>
              <w:t xml:space="preserve"> діючих договорів в рамках </w:t>
            </w:r>
            <w:proofErr w:type="spellStart"/>
            <w:r w:rsidRPr="002A0D46">
              <w:rPr>
                <w:bCs/>
                <w:lang w:val="uk-UA"/>
              </w:rPr>
              <w:t>Erasmus</w:t>
            </w:r>
            <w:proofErr w:type="spellEnd"/>
            <w:r w:rsidRPr="002A0D46">
              <w:rPr>
                <w:bCs/>
                <w:lang w:val="uk-UA"/>
              </w:rPr>
              <w:t xml:space="preserve"> + </w:t>
            </w:r>
            <w:proofErr w:type="spellStart"/>
            <w:r w:rsidRPr="002A0D46">
              <w:rPr>
                <w:bCs/>
                <w:lang w:val="uk-UA"/>
              </w:rPr>
              <w:t>International</w:t>
            </w:r>
            <w:proofErr w:type="spellEnd"/>
            <w:r w:rsidRPr="002A0D46">
              <w:rPr>
                <w:bCs/>
                <w:lang w:val="uk-UA"/>
              </w:rPr>
              <w:t xml:space="preserve"> </w:t>
            </w:r>
            <w:proofErr w:type="spellStart"/>
            <w:r w:rsidRPr="002A0D46">
              <w:rPr>
                <w:bCs/>
                <w:lang w:val="uk-UA"/>
              </w:rPr>
              <w:t>Credit</w:t>
            </w:r>
            <w:proofErr w:type="spellEnd"/>
            <w:r w:rsidRPr="002A0D46">
              <w:rPr>
                <w:bCs/>
                <w:lang w:val="uk-UA"/>
              </w:rPr>
              <w:t xml:space="preserve"> </w:t>
            </w:r>
            <w:proofErr w:type="spellStart"/>
            <w:r w:rsidRPr="002A0D46">
              <w:rPr>
                <w:bCs/>
                <w:lang w:val="uk-UA"/>
              </w:rPr>
              <w:t>Mobility</w:t>
            </w:r>
            <w:proofErr w:type="spellEnd"/>
            <w:r w:rsidRPr="002A0D46">
              <w:rPr>
                <w:b/>
                <w:bCs/>
                <w:lang w:val="uk-UA"/>
              </w:rPr>
              <w:t> </w:t>
            </w:r>
            <w:r w:rsidRPr="002A0D46">
              <w:rPr>
                <w:lang w:val="uk-UA"/>
              </w:rPr>
              <w:t>із наступними іноземними університетами, а саме:</w:t>
            </w:r>
          </w:p>
          <w:p w:rsidR="00BA27C7" w:rsidRPr="002A0D46" w:rsidRDefault="00BA27C7" w:rsidP="00BA27C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A0D46">
              <w:rPr>
                <w:lang w:val="uk-UA"/>
              </w:rPr>
              <w:t>1) Близькосхідний Технічний Університет, м. Анкара, Туреччина (METU) </w:t>
            </w:r>
          </w:p>
          <w:p w:rsidR="00BA27C7" w:rsidRPr="002A0D46" w:rsidRDefault="00BA27C7" w:rsidP="00BA27C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A0D46">
              <w:rPr>
                <w:lang w:val="uk-UA"/>
              </w:rPr>
              <w:t xml:space="preserve">2) Університет імені </w:t>
            </w:r>
            <w:proofErr w:type="spellStart"/>
            <w:r w:rsidRPr="002A0D46">
              <w:rPr>
                <w:lang w:val="uk-UA"/>
              </w:rPr>
              <w:t>Арістотеля</w:t>
            </w:r>
            <w:proofErr w:type="spellEnd"/>
            <w:r w:rsidRPr="002A0D46">
              <w:rPr>
                <w:lang w:val="uk-UA"/>
              </w:rPr>
              <w:t>, м. Салоніки, Греція </w:t>
            </w:r>
          </w:p>
          <w:p w:rsidR="00BA27C7" w:rsidRPr="002A0D46" w:rsidRDefault="00BA27C7" w:rsidP="00BA27C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A0D46">
              <w:rPr>
                <w:lang w:val="uk-UA"/>
              </w:rPr>
              <w:t xml:space="preserve">3) Університет Нової </w:t>
            </w:r>
            <w:proofErr w:type="spellStart"/>
            <w:r w:rsidRPr="002A0D46">
              <w:rPr>
                <w:lang w:val="uk-UA"/>
              </w:rPr>
              <w:t>Горіци</w:t>
            </w:r>
            <w:proofErr w:type="spellEnd"/>
            <w:r w:rsidRPr="002A0D46">
              <w:rPr>
                <w:lang w:val="uk-UA"/>
              </w:rPr>
              <w:t xml:space="preserve"> , м. Нова </w:t>
            </w:r>
            <w:proofErr w:type="spellStart"/>
            <w:r w:rsidRPr="002A0D46">
              <w:rPr>
                <w:lang w:val="uk-UA"/>
              </w:rPr>
              <w:t>Горіця</w:t>
            </w:r>
            <w:proofErr w:type="spellEnd"/>
            <w:r w:rsidRPr="002A0D46">
              <w:rPr>
                <w:lang w:val="uk-UA"/>
              </w:rPr>
              <w:t>, Словенія</w:t>
            </w:r>
          </w:p>
          <w:p w:rsidR="00BA27C7" w:rsidRPr="002A0D46" w:rsidRDefault="00BA27C7" w:rsidP="00BA27C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A0D46">
              <w:rPr>
                <w:lang w:val="uk-UA"/>
              </w:rPr>
              <w:t>4) Естонський Університет природничих наук, м. Тарту, Естонія </w:t>
            </w:r>
          </w:p>
          <w:p w:rsidR="002212B1" w:rsidRPr="002A0D46" w:rsidRDefault="00BA27C7" w:rsidP="00BA27C7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t>5) Лодзинський технічни</w:t>
            </w:r>
            <w:r w:rsidR="002212B1" w:rsidRPr="002A0D46">
              <w:rPr>
                <w:lang w:val="uk-UA"/>
              </w:rPr>
              <w:t>й університет (м. Лодзь, Польща)</w:t>
            </w:r>
          </w:p>
          <w:p w:rsidR="00BE62B5" w:rsidRPr="002A0D46" w:rsidRDefault="002212B1" w:rsidP="002212B1">
            <w:pPr>
              <w:jc w:val="both"/>
              <w:rPr>
                <w:lang w:val="uk-UA"/>
              </w:rPr>
            </w:pPr>
            <w:r w:rsidRPr="002A0D46">
              <w:rPr>
                <w:lang w:val="uk-UA"/>
              </w:rPr>
              <w:lastRenderedPageBreak/>
              <w:t xml:space="preserve">6) Вища школа управління охороною праці у м. </w:t>
            </w:r>
            <w:proofErr w:type="spellStart"/>
            <w:r w:rsidRPr="002A0D46">
              <w:rPr>
                <w:lang w:val="uk-UA"/>
              </w:rPr>
              <w:t>Катовіце</w:t>
            </w:r>
            <w:proofErr w:type="spellEnd"/>
            <w:r w:rsidRPr="002A0D46">
              <w:rPr>
                <w:lang w:val="uk-UA"/>
              </w:rPr>
              <w:t>, Польща</w:t>
            </w:r>
            <w:r w:rsidR="00BA27C7" w:rsidRPr="002A0D46">
              <w:rPr>
                <w:color w:val="0070C0"/>
                <w:lang w:val="uk-UA"/>
              </w:rPr>
              <w:t> </w:t>
            </w:r>
          </w:p>
        </w:tc>
      </w:tr>
      <w:tr w:rsidR="00BE62B5" w:rsidRPr="002A0D46" w:rsidTr="00C47B99">
        <w:trPr>
          <w:trHeight w:val="333"/>
        </w:trPr>
        <w:tc>
          <w:tcPr>
            <w:tcW w:w="1537" w:type="pct"/>
          </w:tcPr>
          <w:p w:rsidR="00BE62B5" w:rsidRPr="002A0D46" w:rsidRDefault="00BE62B5" w:rsidP="00E962A3">
            <w:pPr>
              <w:ind w:left="284"/>
              <w:rPr>
                <w:b/>
                <w:lang w:val="uk-UA" w:eastAsia="uk-UA"/>
              </w:rPr>
            </w:pPr>
            <w:r w:rsidRPr="002A0D46">
              <w:rPr>
                <w:b/>
                <w:lang w:val="uk-UA" w:eastAsia="uk-UA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3463" w:type="pct"/>
          </w:tcPr>
          <w:p w:rsidR="00BE62B5" w:rsidRPr="002A0D46" w:rsidRDefault="00BE62B5" w:rsidP="00BA27C7">
            <w:pPr>
              <w:jc w:val="both"/>
              <w:rPr>
                <w:lang w:val="uk-UA"/>
              </w:rPr>
            </w:pPr>
            <w:r w:rsidRPr="002A0D46">
              <w:rPr>
                <w:bCs/>
                <w:lang w:val="uk-UA"/>
              </w:rPr>
              <w:t xml:space="preserve">Відповідно до </w:t>
            </w:r>
            <w:hyperlink r:id="rId12" w:tgtFrame="_blank" w:history="1">
              <w:r w:rsidRPr="002A0D46">
                <w:rPr>
                  <w:bCs/>
                  <w:lang w:val="uk-UA"/>
                </w:rPr>
                <w:t xml:space="preserve">Правил прийому на навчання до </w:t>
              </w:r>
              <w:r w:rsidRPr="002A0D46">
                <w:rPr>
                  <w:bCs/>
                  <w:lang w:val="uk-UA"/>
                </w:rPr>
                <w:br/>
              </w:r>
              <w:r w:rsidRPr="002A0D46">
                <w:rPr>
                  <w:lang w:val="uk-UA"/>
                </w:rPr>
                <w:t xml:space="preserve">ХНУМГ ім. О.М. </w:t>
              </w:r>
              <w:proofErr w:type="spellStart"/>
              <w:r w:rsidRPr="002A0D46">
                <w:rPr>
                  <w:lang w:val="uk-UA"/>
                </w:rPr>
                <w:t>Бекетова</w:t>
              </w:r>
              <w:proofErr w:type="spellEnd"/>
            </w:hyperlink>
          </w:p>
        </w:tc>
      </w:tr>
    </w:tbl>
    <w:p w:rsidR="0008764C" w:rsidRPr="002A0D46" w:rsidRDefault="0008764C" w:rsidP="00E962A3">
      <w:pPr>
        <w:spacing w:line="360" w:lineRule="auto"/>
        <w:jc w:val="both"/>
        <w:rPr>
          <w:sz w:val="28"/>
          <w:szCs w:val="28"/>
          <w:lang w:val="uk-UA"/>
        </w:rPr>
      </w:pPr>
    </w:p>
    <w:sectPr w:rsidR="0008764C" w:rsidRPr="002A0D46" w:rsidSect="0021386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DA" w:rsidRDefault="00F04DDA">
      <w:r>
        <w:separator/>
      </w:r>
    </w:p>
  </w:endnote>
  <w:endnote w:type="continuationSeparator" w:id="0">
    <w:p w:rsidR="00F04DDA" w:rsidRDefault="00F0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DA" w:rsidRDefault="00F04DDA">
      <w:r>
        <w:separator/>
      </w:r>
    </w:p>
  </w:footnote>
  <w:footnote w:type="continuationSeparator" w:id="0">
    <w:p w:rsidR="00F04DDA" w:rsidRDefault="00F0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26430"/>
    <w:multiLevelType w:val="hybridMultilevel"/>
    <w:tmpl w:val="BACA812A"/>
    <w:lvl w:ilvl="0" w:tplc="DE760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B9F"/>
    <w:multiLevelType w:val="multilevel"/>
    <w:tmpl w:val="2A543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7135C"/>
    <w:multiLevelType w:val="hybridMultilevel"/>
    <w:tmpl w:val="C3564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36022"/>
    <w:multiLevelType w:val="hybridMultilevel"/>
    <w:tmpl w:val="06B477C4"/>
    <w:lvl w:ilvl="0" w:tplc="52588360">
      <w:start w:val="1"/>
      <w:numFmt w:val="decimal"/>
      <w:lvlText w:val="СК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ECA9A4">
      <w:start w:val="24"/>
      <w:numFmt w:val="decimal"/>
      <w:lvlText w:val="ВПРН%2."/>
      <w:lvlJc w:val="left"/>
      <w:pPr>
        <w:tabs>
          <w:tab w:val="num" w:pos="720"/>
        </w:tabs>
        <w:ind w:left="1785" w:hanging="705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8E3F6E"/>
    <w:multiLevelType w:val="hybridMultilevel"/>
    <w:tmpl w:val="EF7AC8D4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C343C97"/>
    <w:multiLevelType w:val="hybridMultilevel"/>
    <w:tmpl w:val="6B6EE032"/>
    <w:lvl w:ilvl="0" w:tplc="2A2AF3DC">
      <w:start w:val="14"/>
      <w:numFmt w:val="decimal"/>
      <w:lvlText w:val="ВСК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8"/>
  </w:num>
  <w:num w:numId="4">
    <w:abstractNumId w:val="37"/>
  </w:num>
  <w:num w:numId="5">
    <w:abstractNumId w:val="1"/>
  </w:num>
  <w:num w:numId="6">
    <w:abstractNumId w:val="27"/>
  </w:num>
  <w:num w:numId="7">
    <w:abstractNumId w:val="46"/>
  </w:num>
  <w:num w:numId="8">
    <w:abstractNumId w:val="10"/>
  </w:num>
  <w:num w:numId="9">
    <w:abstractNumId w:val="26"/>
  </w:num>
  <w:num w:numId="10">
    <w:abstractNumId w:val="13"/>
  </w:num>
  <w:num w:numId="11">
    <w:abstractNumId w:val="21"/>
  </w:num>
  <w:num w:numId="12">
    <w:abstractNumId w:val="32"/>
  </w:num>
  <w:num w:numId="13">
    <w:abstractNumId w:val="20"/>
  </w:num>
  <w:num w:numId="14">
    <w:abstractNumId w:val="36"/>
  </w:num>
  <w:num w:numId="15">
    <w:abstractNumId w:val="31"/>
  </w:num>
  <w:num w:numId="16">
    <w:abstractNumId w:val="44"/>
  </w:num>
  <w:num w:numId="17">
    <w:abstractNumId w:val="15"/>
  </w:num>
  <w:num w:numId="18">
    <w:abstractNumId w:val="48"/>
  </w:num>
  <w:num w:numId="19">
    <w:abstractNumId w:val="16"/>
  </w:num>
  <w:num w:numId="20">
    <w:abstractNumId w:val="17"/>
  </w:num>
  <w:num w:numId="21">
    <w:abstractNumId w:val="11"/>
  </w:num>
  <w:num w:numId="22">
    <w:abstractNumId w:val="7"/>
  </w:num>
  <w:num w:numId="23">
    <w:abstractNumId w:val="43"/>
  </w:num>
  <w:num w:numId="24">
    <w:abstractNumId w:val="33"/>
  </w:num>
  <w:num w:numId="25">
    <w:abstractNumId w:val="14"/>
  </w:num>
  <w:num w:numId="26">
    <w:abstractNumId w:val="3"/>
  </w:num>
  <w:num w:numId="27">
    <w:abstractNumId w:val="4"/>
  </w:num>
  <w:num w:numId="28">
    <w:abstractNumId w:val="19"/>
  </w:num>
  <w:num w:numId="29">
    <w:abstractNumId w:val="5"/>
  </w:num>
  <w:num w:numId="30">
    <w:abstractNumId w:val="2"/>
  </w:num>
  <w:num w:numId="31">
    <w:abstractNumId w:val="6"/>
  </w:num>
  <w:num w:numId="32">
    <w:abstractNumId w:val="42"/>
  </w:num>
  <w:num w:numId="33">
    <w:abstractNumId w:val="23"/>
  </w:num>
  <w:num w:numId="34">
    <w:abstractNumId w:val="12"/>
  </w:num>
  <w:num w:numId="35">
    <w:abstractNumId w:val="41"/>
  </w:num>
  <w:num w:numId="36">
    <w:abstractNumId w:val="25"/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0"/>
  </w:num>
  <w:num w:numId="41">
    <w:abstractNumId w:val="40"/>
  </w:num>
  <w:num w:numId="42">
    <w:abstractNumId w:val="22"/>
  </w:num>
  <w:num w:numId="43">
    <w:abstractNumId w:val="39"/>
  </w:num>
  <w:num w:numId="44">
    <w:abstractNumId w:val="8"/>
  </w:num>
  <w:num w:numId="45">
    <w:abstractNumId w:val="24"/>
  </w:num>
  <w:num w:numId="46">
    <w:abstractNumId w:val="47"/>
  </w:num>
  <w:num w:numId="47">
    <w:abstractNumId w:val="29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9DB"/>
    <w:rsid w:val="000100D7"/>
    <w:rsid w:val="00013A37"/>
    <w:rsid w:val="00013C47"/>
    <w:rsid w:val="00034BF8"/>
    <w:rsid w:val="00035C4A"/>
    <w:rsid w:val="00040F0B"/>
    <w:rsid w:val="000417FA"/>
    <w:rsid w:val="000436F5"/>
    <w:rsid w:val="00053B43"/>
    <w:rsid w:val="00060A25"/>
    <w:rsid w:val="00064D4F"/>
    <w:rsid w:val="0008764C"/>
    <w:rsid w:val="00093005"/>
    <w:rsid w:val="000A6806"/>
    <w:rsid w:val="000B1355"/>
    <w:rsid w:val="000B6A76"/>
    <w:rsid w:val="000D069A"/>
    <w:rsid w:val="000D153B"/>
    <w:rsid w:val="000D1836"/>
    <w:rsid w:val="000D68AD"/>
    <w:rsid w:val="000D7BE3"/>
    <w:rsid w:val="000E2FCA"/>
    <w:rsid w:val="000F1E6E"/>
    <w:rsid w:val="000F4B57"/>
    <w:rsid w:val="00123159"/>
    <w:rsid w:val="0012337B"/>
    <w:rsid w:val="00144E83"/>
    <w:rsid w:val="001513B7"/>
    <w:rsid w:val="00160470"/>
    <w:rsid w:val="00163147"/>
    <w:rsid w:val="00166F87"/>
    <w:rsid w:val="001B76A5"/>
    <w:rsid w:val="001C1872"/>
    <w:rsid w:val="001C6D8E"/>
    <w:rsid w:val="001E425B"/>
    <w:rsid w:val="001F25EC"/>
    <w:rsid w:val="001F7C90"/>
    <w:rsid w:val="00206972"/>
    <w:rsid w:val="00206FC1"/>
    <w:rsid w:val="002130BD"/>
    <w:rsid w:val="00213864"/>
    <w:rsid w:val="00217778"/>
    <w:rsid w:val="0022067D"/>
    <w:rsid w:val="002212B1"/>
    <w:rsid w:val="00225D77"/>
    <w:rsid w:val="0022687C"/>
    <w:rsid w:val="0022759B"/>
    <w:rsid w:val="00230655"/>
    <w:rsid w:val="00251110"/>
    <w:rsid w:val="00252228"/>
    <w:rsid w:val="002550FC"/>
    <w:rsid w:val="0025748B"/>
    <w:rsid w:val="0029310C"/>
    <w:rsid w:val="002A0D46"/>
    <w:rsid w:val="002B016C"/>
    <w:rsid w:val="002C0FB1"/>
    <w:rsid w:val="002C1A4D"/>
    <w:rsid w:val="002C53F6"/>
    <w:rsid w:val="002D2C08"/>
    <w:rsid w:val="002D7459"/>
    <w:rsid w:val="002F0FE7"/>
    <w:rsid w:val="002F525F"/>
    <w:rsid w:val="00313A38"/>
    <w:rsid w:val="003161A6"/>
    <w:rsid w:val="0032233B"/>
    <w:rsid w:val="00336839"/>
    <w:rsid w:val="003666D3"/>
    <w:rsid w:val="00373362"/>
    <w:rsid w:val="003920B0"/>
    <w:rsid w:val="00392D98"/>
    <w:rsid w:val="00394F5F"/>
    <w:rsid w:val="003D11AA"/>
    <w:rsid w:val="003D1BFB"/>
    <w:rsid w:val="003D57AA"/>
    <w:rsid w:val="003E1D57"/>
    <w:rsid w:val="003E3383"/>
    <w:rsid w:val="003E523F"/>
    <w:rsid w:val="0041442F"/>
    <w:rsid w:val="0041510B"/>
    <w:rsid w:val="004154F5"/>
    <w:rsid w:val="0043556D"/>
    <w:rsid w:val="004434E7"/>
    <w:rsid w:val="00460DF5"/>
    <w:rsid w:val="00462491"/>
    <w:rsid w:val="00464A8F"/>
    <w:rsid w:val="00472E50"/>
    <w:rsid w:val="0047528E"/>
    <w:rsid w:val="004757BB"/>
    <w:rsid w:val="00483936"/>
    <w:rsid w:val="00484611"/>
    <w:rsid w:val="004A4026"/>
    <w:rsid w:val="004A7379"/>
    <w:rsid w:val="004B0D6B"/>
    <w:rsid w:val="005158D0"/>
    <w:rsid w:val="005164BF"/>
    <w:rsid w:val="00522806"/>
    <w:rsid w:val="00523DC3"/>
    <w:rsid w:val="005345A1"/>
    <w:rsid w:val="0054022A"/>
    <w:rsid w:val="0054098F"/>
    <w:rsid w:val="005619C4"/>
    <w:rsid w:val="00570A0C"/>
    <w:rsid w:val="00591913"/>
    <w:rsid w:val="005A2DF5"/>
    <w:rsid w:val="005A7E87"/>
    <w:rsid w:val="005B4F5B"/>
    <w:rsid w:val="005C1450"/>
    <w:rsid w:val="005C4C18"/>
    <w:rsid w:val="005F0266"/>
    <w:rsid w:val="00601831"/>
    <w:rsid w:val="00605C6B"/>
    <w:rsid w:val="00615F5C"/>
    <w:rsid w:val="00620D39"/>
    <w:rsid w:val="00622D8C"/>
    <w:rsid w:val="006272F3"/>
    <w:rsid w:val="006524C3"/>
    <w:rsid w:val="00655484"/>
    <w:rsid w:val="006562DD"/>
    <w:rsid w:val="00662B6C"/>
    <w:rsid w:val="00667B65"/>
    <w:rsid w:val="006721F2"/>
    <w:rsid w:val="00672D86"/>
    <w:rsid w:val="00675F67"/>
    <w:rsid w:val="0068225A"/>
    <w:rsid w:val="0069318F"/>
    <w:rsid w:val="00697C59"/>
    <w:rsid w:val="006B5435"/>
    <w:rsid w:val="006C5AD1"/>
    <w:rsid w:val="006C7D5F"/>
    <w:rsid w:val="006E7E5F"/>
    <w:rsid w:val="006F0D9A"/>
    <w:rsid w:val="006F2BD3"/>
    <w:rsid w:val="006F3626"/>
    <w:rsid w:val="006F72E7"/>
    <w:rsid w:val="007214B5"/>
    <w:rsid w:val="007400D8"/>
    <w:rsid w:val="00741AA3"/>
    <w:rsid w:val="007562D4"/>
    <w:rsid w:val="00766011"/>
    <w:rsid w:val="007A064A"/>
    <w:rsid w:val="007A3709"/>
    <w:rsid w:val="007A461D"/>
    <w:rsid w:val="007C315D"/>
    <w:rsid w:val="007C740B"/>
    <w:rsid w:val="007D0375"/>
    <w:rsid w:val="007D3AC8"/>
    <w:rsid w:val="007D674E"/>
    <w:rsid w:val="007E47C8"/>
    <w:rsid w:val="007E6D92"/>
    <w:rsid w:val="007E7D53"/>
    <w:rsid w:val="00802EAA"/>
    <w:rsid w:val="00810506"/>
    <w:rsid w:val="00812CA0"/>
    <w:rsid w:val="0082595C"/>
    <w:rsid w:val="008328ED"/>
    <w:rsid w:val="00837993"/>
    <w:rsid w:val="00837E96"/>
    <w:rsid w:val="00841717"/>
    <w:rsid w:val="008643A6"/>
    <w:rsid w:val="0086662B"/>
    <w:rsid w:val="008979B0"/>
    <w:rsid w:val="008A0679"/>
    <w:rsid w:val="008A70E5"/>
    <w:rsid w:val="008C0CA3"/>
    <w:rsid w:val="008C3CEC"/>
    <w:rsid w:val="008C7495"/>
    <w:rsid w:val="008D13B5"/>
    <w:rsid w:val="008E2689"/>
    <w:rsid w:val="008E76CD"/>
    <w:rsid w:val="008F5F3C"/>
    <w:rsid w:val="0094211B"/>
    <w:rsid w:val="00947CFE"/>
    <w:rsid w:val="009536BD"/>
    <w:rsid w:val="009554D2"/>
    <w:rsid w:val="00965146"/>
    <w:rsid w:val="00967150"/>
    <w:rsid w:val="00974CE9"/>
    <w:rsid w:val="00982A3B"/>
    <w:rsid w:val="00990910"/>
    <w:rsid w:val="009940C5"/>
    <w:rsid w:val="00994647"/>
    <w:rsid w:val="00997702"/>
    <w:rsid w:val="009A5D21"/>
    <w:rsid w:val="009B4472"/>
    <w:rsid w:val="009B5931"/>
    <w:rsid w:val="009D287B"/>
    <w:rsid w:val="009F5A71"/>
    <w:rsid w:val="009F7ABD"/>
    <w:rsid w:val="00A00347"/>
    <w:rsid w:val="00A0086F"/>
    <w:rsid w:val="00A03378"/>
    <w:rsid w:val="00A0654C"/>
    <w:rsid w:val="00A123F8"/>
    <w:rsid w:val="00A12FB2"/>
    <w:rsid w:val="00A20F81"/>
    <w:rsid w:val="00A2268F"/>
    <w:rsid w:val="00A2505E"/>
    <w:rsid w:val="00A32194"/>
    <w:rsid w:val="00A34A74"/>
    <w:rsid w:val="00A41E88"/>
    <w:rsid w:val="00A44A69"/>
    <w:rsid w:val="00A5370A"/>
    <w:rsid w:val="00A60A49"/>
    <w:rsid w:val="00A6181E"/>
    <w:rsid w:val="00A61E6F"/>
    <w:rsid w:val="00A65F07"/>
    <w:rsid w:val="00A8400F"/>
    <w:rsid w:val="00A91614"/>
    <w:rsid w:val="00A91D79"/>
    <w:rsid w:val="00A94A2B"/>
    <w:rsid w:val="00AA1A6D"/>
    <w:rsid w:val="00AA5A7D"/>
    <w:rsid w:val="00AB2AE0"/>
    <w:rsid w:val="00AB552F"/>
    <w:rsid w:val="00AC5FCD"/>
    <w:rsid w:val="00AD2F55"/>
    <w:rsid w:val="00AE22A1"/>
    <w:rsid w:val="00AF2F53"/>
    <w:rsid w:val="00AF4269"/>
    <w:rsid w:val="00AF50F0"/>
    <w:rsid w:val="00AF7CFA"/>
    <w:rsid w:val="00B007FD"/>
    <w:rsid w:val="00B15994"/>
    <w:rsid w:val="00B15EEC"/>
    <w:rsid w:val="00B30F39"/>
    <w:rsid w:val="00B367E5"/>
    <w:rsid w:val="00B4460C"/>
    <w:rsid w:val="00B66F4F"/>
    <w:rsid w:val="00B67903"/>
    <w:rsid w:val="00B84FE8"/>
    <w:rsid w:val="00B87EE8"/>
    <w:rsid w:val="00BA27C7"/>
    <w:rsid w:val="00BA51C6"/>
    <w:rsid w:val="00BC2E2E"/>
    <w:rsid w:val="00BC3D44"/>
    <w:rsid w:val="00BC7FA0"/>
    <w:rsid w:val="00BD2F78"/>
    <w:rsid w:val="00BE62B5"/>
    <w:rsid w:val="00BF429A"/>
    <w:rsid w:val="00C03EC6"/>
    <w:rsid w:val="00C0717A"/>
    <w:rsid w:val="00C11646"/>
    <w:rsid w:val="00C31FD3"/>
    <w:rsid w:val="00C401C5"/>
    <w:rsid w:val="00C40C9D"/>
    <w:rsid w:val="00C41862"/>
    <w:rsid w:val="00C42E77"/>
    <w:rsid w:val="00C47B99"/>
    <w:rsid w:val="00C50B8B"/>
    <w:rsid w:val="00C754F1"/>
    <w:rsid w:val="00C76DAE"/>
    <w:rsid w:val="00C81ABF"/>
    <w:rsid w:val="00C8229D"/>
    <w:rsid w:val="00C861B6"/>
    <w:rsid w:val="00CA460B"/>
    <w:rsid w:val="00CA649F"/>
    <w:rsid w:val="00CA69E4"/>
    <w:rsid w:val="00CB3EC8"/>
    <w:rsid w:val="00CB4128"/>
    <w:rsid w:val="00CC4AEB"/>
    <w:rsid w:val="00CC6A6B"/>
    <w:rsid w:val="00CE480E"/>
    <w:rsid w:val="00CE6404"/>
    <w:rsid w:val="00D02247"/>
    <w:rsid w:val="00D047CB"/>
    <w:rsid w:val="00D330B0"/>
    <w:rsid w:val="00D356B7"/>
    <w:rsid w:val="00D36114"/>
    <w:rsid w:val="00D41833"/>
    <w:rsid w:val="00D470C4"/>
    <w:rsid w:val="00D5775F"/>
    <w:rsid w:val="00D65387"/>
    <w:rsid w:val="00D729DB"/>
    <w:rsid w:val="00D730B9"/>
    <w:rsid w:val="00D744E0"/>
    <w:rsid w:val="00D764EF"/>
    <w:rsid w:val="00D80E29"/>
    <w:rsid w:val="00D81D47"/>
    <w:rsid w:val="00D81F5E"/>
    <w:rsid w:val="00D86919"/>
    <w:rsid w:val="00D9122C"/>
    <w:rsid w:val="00D91888"/>
    <w:rsid w:val="00D938AE"/>
    <w:rsid w:val="00D97AAA"/>
    <w:rsid w:val="00DB16A4"/>
    <w:rsid w:val="00DB6D62"/>
    <w:rsid w:val="00DC62B2"/>
    <w:rsid w:val="00DD5E4A"/>
    <w:rsid w:val="00DD657D"/>
    <w:rsid w:val="00DE491F"/>
    <w:rsid w:val="00DF7B33"/>
    <w:rsid w:val="00E00F08"/>
    <w:rsid w:val="00E056D0"/>
    <w:rsid w:val="00E1256F"/>
    <w:rsid w:val="00E2128C"/>
    <w:rsid w:val="00E33488"/>
    <w:rsid w:val="00E40FF4"/>
    <w:rsid w:val="00E41789"/>
    <w:rsid w:val="00E51A42"/>
    <w:rsid w:val="00E554AD"/>
    <w:rsid w:val="00E56E18"/>
    <w:rsid w:val="00E603BC"/>
    <w:rsid w:val="00E60647"/>
    <w:rsid w:val="00E63D35"/>
    <w:rsid w:val="00E64B12"/>
    <w:rsid w:val="00E66B96"/>
    <w:rsid w:val="00E70E74"/>
    <w:rsid w:val="00E867B0"/>
    <w:rsid w:val="00E872E2"/>
    <w:rsid w:val="00E962A3"/>
    <w:rsid w:val="00EB5DEC"/>
    <w:rsid w:val="00EC3AB3"/>
    <w:rsid w:val="00F01B6F"/>
    <w:rsid w:val="00F04DDA"/>
    <w:rsid w:val="00F06204"/>
    <w:rsid w:val="00F12C79"/>
    <w:rsid w:val="00F1702B"/>
    <w:rsid w:val="00F17B39"/>
    <w:rsid w:val="00F36176"/>
    <w:rsid w:val="00F41A1C"/>
    <w:rsid w:val="00F444C5"/>
    <w:rsid w:val="00F46E65"/>
    <w:rsid w:val="00F47199"/>
    <w:rsid w:val="00F56A9A"/>
    <w:rsid w:val="00F63FDE"/>
    <w:rsid w:val="00F71020"/>
    <w:rsid w:val="00F7589F"/>
    <w:rsid w:val="00F774ED"/>
    <w:rsid w:val="00F83C9D"/>
    <w:rsid w:val="00F940EE"/>
    <w:rsid w:val="00FA79D8"/>
    <w:rsid w:val="00FB687D"/>
    <w:rsid w:val="00FC172A"/>
    <w:rsid w:val="00FC4EAA"/>
    <w:rsid w:val="00FD3146"/>
    <w:rsid w:val="00FD5025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25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E125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E1256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256F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rsid w:val="00E1256F"/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rsid w:val="00E1256F"/>
    <w:rPr>
      <w:b/>
      <w:bCs/>
      <w:sz w:val="27"/>
      <w:szCs w:val="27"/>
      <w:lang w:val="uk-UA" w:eastAsia="uk-UA"/>
    </w:rPr>
  </w:style>
  <w:style w:type="table" w:styleId="a3">
    <w:name w:val="Table Grid"/>
    <w:basedOn w:val="a1"/>
    <w:uiPriority w:val="99"/>
    <w:rsid w:val="00D0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E62B5"/>
    <w:rPr>
      <w:color w:val="0000FF"/>
      <w:u w:val="single"/>
    </w:rPr>
  </w:style>
  <w:style w:type="paragraph" w:customStyle="1" w:styleId="Standard">
    <w:name w:val="Standard"/>
    <w:rsid w:val="00CE480E"/>
    <w:pPr>
      <w:suppressAutoHyphens/>
      <w:autoSpaceDN w:val="0"/>
      <w:textAlignment w:val="baseline"/>
    </w:pPr>
    <w:rPr>
      <w:rFonts w:ascii="Antiqua, 'Times New Roman'" w:hAnsi="Antiqua, 'Times New Roman'" w:cs="Antiqua, 'Times New Roman'"/>
      <w:kern w:val="3"/>
      <w:sz w:val="26"/>
      <w:lang w:val="uk-UA" w:eastAsia="zh-CN"/>
    </w:rPr>
  </w:style>
  <w:style w:type="character" w:customStyle="1" w:styleId="apple-converted-space">
    <w:name w:val="apple-converted-space"/>
    <w:uiPriority w:val="99"/>
    <w:rsid w:val="00E1256F"/>
    <w:rPr>
      <w:rFonts w:cs="Times New Roman"/>
    </w:rPr>
  </w:style>
  <w:style w:type="character" w:customStyle="1" w:styleId="21">
    <w:name w:val="Основной текст с отступом 2 Знак"/>
    <w:aliases w:val="Знак Знак Знак"/>
    <w:link w:val="22"/>
    <w:rsid w:val="00E1256F"/>
    <w:rPr>
      <w:rFonts w:ascii="Arial" w:hAnsi="Arial"/>
    </w:rPr>
  </w:style>
  <w:style w:type="paragraph" w:styleId="22">
    <w:name w:val="Body Text Indent 2"/>
    <w:aliases w:val="Знак Знак"/>
    <w:basedOn w:val="a"/>
    <w:link w:val="21"/>
    <w:rsid w:val="00E1256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/>
    </w:rPr>
  </w:style>
  <w:style w:type="character" w:customStyle="1" w:styleId="a5">
    <w:name w:val="Основной текст с отступом Знак"/>
    <w:link w:val="a6"/>
    <w:rsid w:val="00E1256F"/>
    <w:rPr>
      <w:sz w:val="24"/>
      <w:szCs w:val="24"/>
      <w:lang w:val="uk-UA" w:eastAsia="uk-UA"/>
    </w:rPr>
  </w:style>
  <w:style w:type="paragraph" w:styleId="a6">
    <w:name w:val="Body Text Indent"/>
    <w:basedOn w:val="a"/>
    <w:link w:val="a5"/>
    <w:rsid w:val="00E1256F"/>
    <w:pPr>
      <w:spacing w:after="120"/>
      <w:ind w:left="283"/>
    </w:pPr>
    <w:rPr>
      <w:lang w:val="uk-UA" w:eastAsia="uk-UA"/>
    </w:rPr>
  </w:style>
  <w:style w:type="character" w:customStyle="1" w:styleId="a7">
    <w:name w:val="Нижний колонтитул Знак"/>
    <w:link w:val="a8"/>
    <w:uiPriority w:val="99"/>
    <w:rsid w:val="00E1256F"/>
    <w:rPr>
      <w:sz w:val="24"/>
      <w:szCs w:val="24"/>
      <w:lang w:val="uk-UA" w:eastAsia="uk-UA"/>
    </w:rPr>
  </w:style>
  <w:style w:type="paragraph" w:styleId="a8">
    <w:name w:val="footer"/>
    <w:basedOn w:val="a"/>
    <w:link w:val="a7"/>
    <w:uiPriority w:val="99"/>
    <w:rsid w:val="00E1256F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Верхний колонтитул Знак"/>
    <w:link w:val="aa"/>
    <w:uiPriority w:val="99"/>
    <w:rsid w:val="00E1256F"/>
    <w:rPr>
      <w:sz w:val="24"/>
      <w:szCs w:val="24"/>
      <w:lang w:val="uk-UA" w:eastAsia="uk-UA"/>
    </w:rPr>
  </w:style>
  <w:style w:type="paragraph" w:styleId="aa">
    <w:name w:val="header"/>
    <w:basedOn w:val="a"/>
    <w:link w:val="a9"/>
    <w:uiPriority w:val="99"/>
    <w:rsid w:val="00E1256F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b">
    <w:name w:val="Текст выноски Знак"/>
    <w:link w:val="ac"/>
    <w:uiPriority w:val="99"/>
    <w:rsid w:val="00E1256F"/>
    <w:rPr>
      <w:rFonts w:ascii="Tahoma" w:hAnsi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E1256F"/>
    <w:rPr>
      <w:rFonts w:ascii="Tahoma" w:hAnsi="Tahoma"/>
      <w:sz w:val="16"/>
      <w:szCs w:val="16"/>
      <w:lang/>
    </w:rPr>
  </w:style>
  <w:style w:type="paragraph" w:styleId="ad">
    <w:name w:val="List Paragraph"/>
    <w:basedOn w:val="a"/>
    <w:uiPriority w:val="34"/>
    <w:qFormat/>
    <w:rsid w:val="00E12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0">
    <w:name w:val="rvts0"/>
    <w:rsid w:val="00E1256F"/>
  </w:style>
  <w:style w:type="character" w:customStyle="1" w:styleId="fontstyle01">
    <w:name w:val="fontstyle01"/>
    <w:rsid w:val="00E125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ficommentbody">
    <w:name w:val="uficommentbody"/>
    <w:rsid w:val="007D3AC8"/>
  </w:style>
  <w:style w:type="paragraph" w:styleId="ae">
    <w:name w:val="Normal (Web)"/>
    <w:basedOn w:val="a"/>
    <w:uiPriority w:val="99"/>
    <w:unhideWhenUsed/>
    <w:rsid w:val="00BA27C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74C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D03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ame.edu.ua/index.php/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it.kname.edu.ua/images/Documents/2019/Pravyla_pryomy_111.PDF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o.kname.edu.ua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file:///C:\AppData\Local\Temp\&#1062;&#1077;&#1085;&#1090;&#1088;&#1091;%20&#1076;&#1080;&#1089;&#1090;&#1072;&#1085;&#1094;&#1110;&#1081;&#1085;&#1086;&#1075;&#1086;%20&#1085;&#1072;&#1074;&#1095;&#1072;&#1085;&#1085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rints.kname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1FCEA0451854BA605EF0E237F4B38" ma:contentTypeVersion="4" ma:contentTypeDescription="Создание документа." ma:contentTypeScope="" ma:versionID="2b31b7b7e1f0beb14a85756cbddb2134">
  <xsd:schema xmlns:xsd="http://www.w3.org/2001/XMLSchema" xmlns:xs="http://www.w3.org/2001/XMLSchema" xmlns:p="http://schemas.microsoft.com/office/2006/metadata/properties" xmlns:ns2="ec0440ea-ec68-4ea4-8d0d-d2669fbc2122" targetNamespace="http://schemas.microsoft.com/office/2006/metadata/properties" ma:root="true" ma:fieldsID="2b59ac104ba89b35ea9fddcfff576ea2" ns2:_="">
    <xsd:import namespace="ec0440ea-ec68-4ea4-8d0d-d2669fbc2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40ea-ec68-4ea4-8d0d-d2669fbc2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5D5BE-FADC-4079-AAD6-784DCD620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89827-E4E4-46CF-AF33-9FD08165FD90}"/>
</file>

<file path=customXml/itemProps3.xml><?xml version="1.0" encoding="utf-8"?>
<ds:datastoreItem xmlns:ds="http://schemas.openxmlformats.org/officeDocument/2006/customXml" ds:itemID="{C1A716F7-EDE4-4683-8342-070D7ECE9BB5}"/>
</file>

<file path=customXml/itemProps4.xml><?xml version="1.0" encoding="utf-8"?>
<ds:datastoreItem xmlns:ds="http://schemas.openxmlformats.org/officeDocument/2006/customXml" ds:itemID="{E8201217-AF97-4A46-A71C-E4004105E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org</Company>
  <LinksUpToDate>false</LinksUpToDate>
  <CharactersWithSpaces>16999</CharactersWithSpaces>
  <SharedDoc>false</SharedDoc>
  <HLinks>
    <vt:vector size="30" baseType="variant">
      <vt:variant>
        <vt:i4>4522054</vt:i4>
      </vt:variant>
      <vt:variant>
        <vt:i4>12</vt:i4>
      </vt:variant>
      <vt:variant>
        <vt:i4>0</vt:i4>
      </vt:variant>
      <vt:variant>
        <vt:i4>5</vt:i4>
      </vt:variant>
      <vt:variant>
        <vt:lpwstr>https://abit.kname.edu.ua/images/Documents/2019/Pravyla_pryomy_111.PDF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http://cdo.kname.edu.ua/</vt:lpwstr>
      </vt:variant>
      <vt:variant>
        <vt:lpwstr/>
      </vt:variant>
      <vt:variant>
        <vt:i4>73007176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../../../../../../../../AppData/Local/Temp/Центру дистанційного навчання</vt:lpwstr>
      </vt:variant>
      <vt:variant>
        <vt:lpwstr/>
      </vt:variant>
      <vt:variant>
        <vt:i4>262220</vt:i4>
      </vt:variant>
      <vt:variant>
        <vt:i4>3</vt:i4>
      </vt:variant>
      <vt:variant>
        <vt:i4>0</vt:i4>
      </vt:variant>
      <vt:variant>
        <vt:i4>5</vt:i4>
      </vt:variant>
      <vt:variant>
        <vt:lpwstr>http://eprints.kname.edu.ua/</vt:lpwstr>
      </vt:variant>
      <vt:variant>
        <vt:lpwstr/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http://library.kname.edu.ua/index.php/uk/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KD</cp:lastModifiedBy>
  <cp:revision>3</cp:revision>
  <dcterms:created xsi:type="dcterms:W3CDTF">2023-01-12T11:18:00Z</dcterms:created>
  <dcterms:modified xsi:type="dcterms:W3CDTF">2023-01-12T11:19:00Z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0x0101007171FCEA0451854BA605EF0E237F4B38</vt:lpwstr>
  </property>
</Properties>
</file>